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94BBE04">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三氧化二铁</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44"/>
          <w:lang w:val="en-US" w:eastAsia="zh-CN"/>
        </w:rPr>
      </w:pPr>
      <w:r>
        <w:rPr>
          <w:rFonts w:ascii="宋体" w:hAnsi="宋体" w:eastAsia="宋体" w:cs="宋体"/>
          <w:b/>
          <w:bCs/>
          <w:sz w:val="44"/>
          <w:szCs w:val="44"/>
        </w:rPr>
        <w:t xml:space="preserve">Ferric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r>
        <w:rPr>
          <w:rFonts w:hint="eastAsia" w:ascii="宋体" w:hAnsi="宋体" w:eastAsia="宋体" w:cs="宋体"/>
          <w:b/>
          <w:bCs/>
          <w:sz w:val="44"/>
          <w:szCs w:val="44"/>
          <w:lang w:val="en-US" w:eastAsia="zh-CN"/>
        </w:rPr>
        <w:t xml:space="preserv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三氧化二铁</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Ferric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3ED8577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Ferric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326887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Ferric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1309</w:t>
      </w:r>
      <w:r>
        <w:rPr>
          <w:rFonts w:ascii="宋体" w:hAnsi="宋体" w:eastAsia="宋体" w:cs="宋体"/>
          <w:sz w:val="24"/>
          <w:szCs w:val="24"/>
        </w:rPr>
        <w:t>-</w:t>
      </w:r>
      <w:r>
        <w:rPr>
          <w:rFonts w:hint="eastAsia" w:ascii="宋体" w:hAnsi="宋体" w:eastAsia="宋体" w:cs="宋体"/>
          <w:sz w:val="24"/>
          <w:szCs w:val="24"/>
          <w:lang w:val="en-US" w:eastAsia="zh-CN"/>
        </w:rPr>
        <w:t>37</w:t>
      </w:r>
      <w:r>
        <w:rPr>
          <w:rFonts w:ascii="宋体" w:hAnsi="宋体" w:eastAsia="宋体" w:cs="宋体"/>
          <w:sz w:val="24"/>
          <w:szCs w:val="24"/>
        </w:rPr>
        <w:t>-</w:t>
      </w:r>
      <w:r>
        <w:rPr>
          <w:rFonts w:hint="eastAsia" w:ascii="宋体" w:hAnsi="宋体" w:eastAsia="宋体" w:cs="宋体"/>
          <w:sz w:val="24"/>
          <w:szCs w:val="24"/>
          <w:lang w:val="en-US" w:eastAsia="zh-CN"/>
        </w:rPr>
        <w:t>1</w:t>
      </w:r>
    </w:p>
    <w:p w14:paraId="20EEEE7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DXN-FE50,DXN-FE200.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cs="宋体" w:eastAsiaTheme="minorEastAsia"/>
          <w:sz w:val="24"/>
          <w:szCs w:val="24"/>
          <w:lang w:val="en-US" w:eastAsia="zh-CN"/>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Fe2O3</w:t>
      </w:r>
    </w:p>
    <w:p w14:paraId="010FF8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Fe2O3</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159.69</w:t>
      </w:r>
    </w:p>
    <w:p w14:paraId="44537C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b w:val="0"/>
          <w:bCs/>
          <w:sz w:val="24"/>
          <w:szCs w:val="24"/>
          <w:lang w:val="en-US" w:eastAsia="zh-CN"/>
        </w:rPr>
        <w:t>159.69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2789"/>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0114D6E8">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0536CE34">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2789" w:type="dxa"/>
            <w:vAlign w:val="center"/>
          </w:tcPr>
          <w:p w14:paraId="083449B1">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127065E4">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837EE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三氧化二铁</w:t>
            </w:r>
          </w:p>
          <w:p w14:paraId="7D6B3B6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ascii="宋体" w:hAnsi="宋体" w:eastAsia="宋体" w:cs="宋体"/>
                <w:sz w:val="24"/>
                <w:szCs w:val="24"/>
              </w:rPr>
              <w:t xml:space="preserve">Ferric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4C5DFF46">
            <w:pPr>
              <w:numPr>
                <w:ilvl w:val="0"/>
                <w:numId w:val="0"/>
              </w:numPr>
              <w:ind w:left="0" w:leftChars="0" w:firstLine="0" w:firstLineChars="0"/>
              <w:jc w:val="center"/>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99%</w:t>
            </w:r>
          </w:p>
        </w:tc>
        <w:tc>
          <w:tcPr>
            <w:tcW w:w="2789" w:type="dxa"/>
            <w:shd w:val="clear" w:color="auto" w:fill="auto"/>
            <w:vAlign w:val="center"/>
          </w:tcPr>
          <w:p w14:paraId="6F11D07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ascii="Segoe UI" w:hAnsi="Segoe UI" w:eastAsia="Segoe UI" w:cs="Segoe UI"/>
                <w:i w:val="0"/>
                <w:iCs w:val="0"/>
                <w:caps w:val="0"/>
                <w:color w:val="000000"/>
                <w:spacing w:val="0"/>
                <w:sz w:val="24"/>
                <w:szCs w:val="24"/>
                <w:shd w:val="clear" w:fill="FFFFFF"/>
              </w:rPr>
            </w:pPr>
            <w:r>
              <w:rPr>
                <w:rFonts w:ascii="Segoe UI" w:hAnsi="Segoe UI" w:eastAsia="Segoe UI" w:cs="Segoe UI"/>
                <w:i w:val="0"/>
                <w:iCs w:val="0"/>
                <w:caps w:val="0"/>
                <w:color w:val="000000"/>
                <w:spacing w:val="0"/>
                <w:sz w:val="24"/>
                <w:szCs w:val="24"/>
                <w:shd w:val="clear" w:fill="FFFFFF"/>
              </w:rPr>
              <w:t>用作磁性材料、颜料、擦光剂、催化剂等</w:t>
            </w:r>
            <w:r>
              <w:rPr>
                <w:rFonts w:hint="eastAsia" w:ascii="Segoe UI" w:hAnsi="Segoe UI" w:eastAsia="宋体" w:cs="Segoe UI"/>
                <w:i w:val="0"/>
                <w:iCs w:val="0"/>
                <w:caps w:val="0"/>
                <w:color w:val="000000"/>
                <w:spacing w:val="0"/>
                <w:sz w:val="24"/>
                <w:szCs w:val="24"/>
                <w:shd w:val="clear" w:fill="FFFFFF"/>
                <w:lang w:eastAsia="zh-CN"/>
              </w:rPr>
              <w:t>，</w:t>
            </w:r>
            <w:r>
              <w:rPr>
                <w:rFonts w:ascii="Segoe UI" w:hAnsi="Segoe UI" w:eastAsia="Segoe UI" w:cs="Segoe UI"/>
                <w:i w:val="0"/>
                <w:iCs w:val="0"/>
                <w:caps w:val="0"/>
                <w:color w:val="000000"/>
                <w:spacing w:val="0"/>
                <w:sz w:val="24"/>
                <w:szCs w:val="24"/>
                <w:shd w:val="clear" w:fill="FFFFFF"/>
              </w:rPr>
              <w:t>也用于油漆、油墨和塑料的着色。</w:t>
            </w:r>
          </w:p>
          <w:p w14:paraId="0653325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eastAsia" w:ascii="宋体" w:hAnsi="宋体" w:eastAsia="宋体" w:cs="宋体"/>
                <w:i w:val="0"/>
                <w:iCs w:val="0"/>
                <w:caps w:val="0"/>
                <w:color w:val="000000"/>
                <w:spacing w:val="0"/>
                <w:sz w:val="24"/>
                <w:szCs w:val="24"/>
                <w:shd w:val="clear" w:fill="FFFFFF"/>
                <w:lang w:val="en-US" w:eastAsia="zh-CN"/>
              </w:rPr>
              <w:t>Used as magnetic materials, pigments, polishes, catalysts, etc., and also used for coloring paints, inks and plastics.</w:t>
            </w:r>
          </w:p>
        </w:tc>
      </w:tr>
    </w:tbl>
    <w:p w14:paraId="0AD4D085">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2BF6F28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健康危害：</w:t>
      </w:r>
      <w:r>
        <w:rPr>
          <w:rFonts w:hint="eastAsia" w:ascii="宋体" w:hAnsi="宋体" w:eastAsia="宋体" w:cs="宋体"/>
          <w:sz w:val="24"/>
          <w:szCs w:val="24"/>
          <w:lang w:val="en-US" w:eastAsia="zh-CN"/>
        </w:rPr>
        <w:t>可刺激呼吸道，引起皮肤刺激和眼睛刺激。</w:t>
      </w:r>
    </w:p>
    <w:p w14:paraId="6A5A1CB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Health hazards:</w:t>
      </w:r>
      <w:r>
        <w:rPr>
          <w:rFonts w:hint="default" w:ascii="宋体" w:hAnsi="宋体" w:eastAsia="宋体" w:cs="宋体"/>
          <w:sz w:val="24"/>
          <w:szCs w:val="24"/>
          <w:lang w:val="en-US" w:eastAsia="zh-CN"/>
        </w:rPr>
        <w:t xml:space="preserve"> May cause respiratory irritation, skin irritation and eye irritation.</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3BB042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用大量肥皂水和水清洗。脱去受污染的衣服和鞋子</w:t>
      </w:r>
      <w:r>
        <w:rPr>
          <w:rFonts w:hint="eastAsia" w:ascii="宋体" w:hAnsi="宋体" w:eastAsia="宋体" w:cs="宋体"/>
          <w:sz w:val="24"/>
          <w:szCs w:val="24"/>
          <w:lang w:eastAsia="zh-CN"/>
        </w:rPr>
        <w:t>，</w:t>
      </w:r>
      <w:r>
        <w:rPr>
          <w:rFonts w:ascii="宋体" w:hAnsi="宋体" w:eastAsia="宋体" w:cs="宋体"/>
          <w:sz w:val="24"/>
          <w:szCs w:val="24"/>
        </w:rPr>
        <w:t>脱下被污染的衣物前请用水彻底冲洗，或者戴手套。连续冲洗至少十分钟。寻求医疗救护。</w:t>
      </w:r>
    </w:p>
    <w:p w14:paraId="268E110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Wash with plenty of soap and water. Remove contaminated clothing and shoes, rinse thoroughly with water before removing contaminated clothing, or wear gloves. Continue to rinse for at least ten minutes. Seek medical attention.</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立即用大量水冲洗眼睛，并不时提起上下眼睑。检查和取出任何隐形眼镜。连续冲洗至少十分钟。寻求医疗救护。</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Immediately flush eyes with plenty of water, occasionally lifting the upper and lower eyelids. Check and remove any contact lenses. Continue flushing for at least ten minutes. Get medical attention.</w:t>
      </w:r>
    </w:p>
    <w:p w14:paraId="60F271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将患者转移到空气新鲜处，休息，保持利于呼吸的体位。如沒有呼吸，呼吸不规则或呼吸停止</w:t>
      </w:r>
      <w:r>
        <w:rPr>
          <w:rFonts w:hint="eastAsia" w:ascii="宋体" w:hAnsi="宋体" w:eastAsia="宋体" w:cs="宋体"/>
          <w:sz w:val="24"/>
          <w:szCs w:val="24"/>
          <w:lang w:eastAsia="zh-CN"/>
        </w:rPr>
        <w:t>，</w:t>
      </w:r>
      <w:r>
        <w:rPr>
          <w:rFonts w:ascii="宋体" w:hAnsi="宋体" w:eastAsia="宋体" w:cs="宋体"/>
          <w:sz w:val="24"/>
          <w:szCs w:val="24"/>
        </w:rPr>
        <w:t>由受过训练的人员进行人工呼吸或给氧</w:t>
      </w:r>
      <w:r>
        <w:rPr>
          <w:rFonts w:hint="eastAsia" w:ascii="宋体" w:hAnsi="宋体" w:eastAsia="宋体" w:cs="宋体"/>
          <w:sz w:val="24"/>
          <w:szCs w:val="24"/>
          <w:lang w:eastAsia="zh-CN"/>
        </w:rPr>
        <w:t>。</w:t>
      </w:r>
      <w:r>
        <w:rPr>
          <w:rFonts w:ascii="宋体" w:hAnsi="宋体" w:eastAsia="宋体" w:cs="宋体"/>
          <w:sz w:val="24"/>
          <w:szCs w:val="24"/>
        </w:rPr>
        <w:t>寻求医疗救护。</w:t>
      </w:r>
    </w:p>
    <w:p w14:paraId="00A5AA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Move the patient to fresh air, rest, and maintain a position conducive to breathing. If not breathing, breathing irregularly or breathing has stopped, have trained personnel perform artificial respiration or give oxygen. Seek medical attention.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用水冲洗口腔</w:t>
      </w:r>
      <w:r>
        <w:rPr>
          <w:rFonts w:hint="eastAsia" w:ascii="宋体" w:hAnsi="宋体" w:eastAsia="宋体" w:cs="宋体"/>
          <w:sz w:val="24"/>
          <w:szCs w:val="24"/>
          <w:lang w:eastAsia="zh-CN"/>
        </w:rPr>
        <w:t>，</w:t>
      </w:r>
      <w:r>
        <w:rPr>
          <w:rFonts w:ascii="宋体" w:hAnsi="宋体" w:eastAsia="宋体" w:cs="宋体"/>
          <w:sz w:val="24"/>
          <w:szCs w:val="24"/>
        </w:rPr>
        <w:t>有假牙请摘掉。</w:t>
      </w:r>
      <w:r>
        <w:rPr>
          <w:rFonts w:hint="eastAsia" w:ascii="宋体" w:hAnsi="宋体" w:eastAsia="宋体" w:cs="宋体"/>
          <w:sz w:val="24"/>
          <w:szCs w:val="24"/>
          <w:lang w:val="en-US" w:eastAsia="zh-CN"/>
        </w:rPr>
        <w:t>若</w:t>
      </w:r>
      <w:r>
        <w:rPr>
          <w:rFonts w:ascii="宋体" w:hAnsi="宋体" w:eastAsia="宋体" w:cs="宋体"/>
          <w:sz w:val="24"/>
          <w:szCs w:val="24"/>
        </w:rPr>
        <w:t>物质已被吞下且患者保持清醒，可饮少量水</w:t>
      </w:r>
      <w:r>
        <w:rPr>
          <w:rFonts w:hint="eastAsia" w:ascii="宋体" w:hAnsi="宋体" w:eastAsia="宋体" w:cs="宋体"/>
          <w:sz w:val="24"/>
          <w:szCs w:val="24"/>
          <w:lang w:eastAsia="zh-CN"/>
        </w:rPr>
        <w:t>，</w:t>
      </w:r>
      <w:r>
        <w:rPr>
          <w:rFonts w:ascii="宋体" w:hAnsi="宋体" w:eastAsia="宋体" w:cs="宋体"/>
          <w:sz w:val="24"/>
          <w:szCs w:val="24"/>
        </w:rPr>
        <w:t xml:space="preserve"> 患者感到恶心就应停止，因为呕吐会有危险。禁止催吐</w:t>
      </w:r>
      <w:r>
        <w:rPr>
          <w:rFonts w:hint="eastAsia" w:ascii="宋体" w:hAnsi="宋体" w:eastAsia="宋体" w:cs="宋体"/>
          <w:sz w:val="24"/>
          <w:szCs w:val="24"/>
          <w:lang w:eastAsia="zh-CN"/>
        </w:rPr>
        <w:t>，</w:t>
      </w:r>
      <w:r>
        <w:rPr>
          <w:rFonts w:ascii="宋体" w:hAnsi="宋体" w:eastAsia="宋体" w:cs="宋体"/>
          <w:sz w:val="24"/>
          <w:szCs w:val="24"/>
        </w:rPr>
        <w:t>除非有专业医疗人士指导</w:t>
      </w:r>
      <w:r>
        <w:rPr>
          <w:rFonts w:hint="eastAsia" w:ascii="宋体" w:hAnsi="宋体" w:eastAsia="宋体" w:cs="宋体"/>
          <w:sz w:val="24"/>
          <w:szCs w:val="24"/>
          <w:lang w:eastAsia="zh-CN"/>
        </w:rPr>
        <w:t>，</w:t>
      </w:r>
      <w:r>
        <w:rPr>
          <w:rFonts w:ascii="宋体" w:hAnsi="宋体" w:eastAsia="宋体" w:cs="宋体"/>
          <w:sz w:val="24"/>
          <w:szCs w:val="24"/>
        </w:rPr>
        <w:t>发生呕吐</w:t>
      </w:r>
      <w:r>
        <w:rPr>
          <w:rFonts w:hint="eastAsia" w:ascii="宋体" w:hAnsi="宋体" w:eastAsia="宋体" w:cs="宋体"/>
          <w:sz w:val="24"/>
          <w:szCs w:val="24"/>
          <w:lang w:eastAsia="zh-CN"/>
        </w:rPr>
        <w:t>，</w:t>
      </w:r>
      <w:r>
        <w:rPr>
          <w:rFonts w:ascii="宋体" w:hAnsi="宋体" w:eastAsia="宋体" w:cs="宋体"/>
          <w:sz w:val="24"/>
          <w:szCs w:val="24"/>
        </w:rPr>
        <w:t>应保持头部朝下以避免呕吐物进入肺部。寻求医疗救护。切勿给失去意识者任何口服物。</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Rinse mouth with water and remove dentures if present. If material has been swallowed and the person is conscious, give small amounts of water to drink. Stop if the person feels nauseous because vomiting can be dangerous. Do not induce vomiting unless directed by a medical professional. If vomiting occurs, keep the head down to prevent vomitus from entering the lungs. Seek medical attention. Never give anything by mouth to an unconscious person.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sz w:val="24"/>
          <w:szCs w:val="24"/>
        </w:rPr>
      </w:pPr>
    </w:p>
    <w:p w14:paraId="05016895">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用水雾,耐醇泡沫,干粉或二氧化碳灭火。</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bCs/>
          <w:sz w:val="24"/>
          <w:szCs w:val="24"/>
          <w:lang w:val="en-US" w:eastAsia="zh-CN"/>
        </w:rPr>
        <w:t xml:space="preserve"> </w:t>
      </w:r>
      <w:r>
        <w:rPr>
          <w:rFonts w:hint="eastAsia" w:cs="宋体"/>
          <w:b w:val="0"/>
          <w:bCs w:val="0"/>
          <w:sz w:val="24"/>
          <w:szCs w:val="24"/>
          <w:lang w:eastAsia="zh-CN"/>
        </w:rPr>
        <w:t>Extinguish with water spray, alcohol-resistant foam, dry powder or carbon dioxide.</w:t>
      </w:r>
      <w:r>
        <w:rPr>
          <w:rFonts w:ascii="宋体" w:hAnsi="宋体" w:eastAsia="宋体" w:cs="宋体"/>
          <w:sz w:val="24"/>
          <w:szCs w:val="24"/>
        </w:rPr>
        <w:t xml:space="preserve"> </w:t>
      </w:r>
      <w:r>
        <w:rPr>
          <w:rFonts w:hint="eastAsia" w:cs="宋体"/>
          <w:b w:val="0"/>
          <w:bCs w:val="0"/>
          <w:sz w:val="24"/>
          <w:szCs w:val="24"/>
          <w:lang w:eastAsia="zh-CN"/>
        </w:rPr>
        <w:t xml:space="preserve"> </w:t>
      </w:r>
    </w:p>
    <w:p w14:paraId="220112D2">
      <w:pPr>
        <w:pStyle w:val="9"/>
        <w:spacing w:before="71" w:line="221" w:lineRule="auto"/>
        <w:ind w:left="239" w:leftChars="114" w:firstLine="0" w:firstLineChars="0"/>
        <w:outlineLvl w:val="0"/>
        <w:rPr>
          <w:rFonts w:hint="eastAsia" w:cs="宋体"/>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sz w:val="24"/>
          <w:szCs w:val="24"/>
        </w:rPr>
      </w:pPr>
    </w:p>
    <w:p w14:paraId="7B75D7BA">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color w:val="auto"/>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ascii="Arial" w:hAnsi="Arial" w:eastAsia="宋体" w:cs="Arial"/>
          <w:i w:val="0"/>
          <w:iCs w:val="0"/>
          <w:caps w:val="0"/>
          <w:color w:val="auto"/>
          <w:spacing w:val="0"/>
          <w:sz w:val="24"/>
          <w:szCs w:val="24"/>
        </w:rPr>
        <w:t>使用个人防护设备。防止粉尘的生成。防止吸入蒸汽、气雾或气体。保证充分的通风</w:t>
      </w:r>
      <w:r>
        <w:rPr>
          <w:rFonts w:hint="eastAsia" w:ascii="Arial" w:hAnsi="Arial" w:cs="Arial"/>
          <w:i w:val="0"/>
          <w:iCs w:val="0"/>
          <w:caps w:val="0"/>
          <w:color w:val="auto"/>
          <w:spacing w:val="0"/>
          <w:sz w:val="24"/>
          <w:szCs w:val="24"/>
          <w:lang w:eastAsia="zh-CN"/>
        </w:rPr>
        <w:t>，</w:t>
      </w:r>
      <w:r>
        <w:rPr>
          <w:rFonts w:hint="default" w:ascii="Arial" w:hAnsi="Arial" w:eastAsia="宋体" w:cs="Arial"/>
          <w:i w:val="0"/>
          <w:iCs w:val="0"/>
          <w:caps w:val="0"/>
          <w:color w:val="auto"/>
          <w:spacing w:val="0"/>
          <w:sz w:val="24"/>
          <w:szCs w:val="24"/>
        </w:rPr>
        <w:t>将人员撤离到安全区域</w:t>
      </w:r>
      <w:r>
        <w:rPr>
          <w:rFonts w:hint="default" w:ascii="Arial" w:hAnsi="Arial" w:eastAsia="宋体" w:cs="Arial"/>
          <w:i w:val="0"/>
          <w:iCs w:val="0"/>
          <w:caps w:val="0"/>
          <w:color w:val="auto"/>
          <w:spacing w:val="0"/>
          <w:sz w:val="21"/>
          <w:szCs w:val="21"/>
        </w:rPr>
        <w:t xml:space="preserve">。 </w:t>
      </w:r>
    </w:p>
    <w:p w14:paraId="4BA0784D">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Personal precautions, protective equipment and emergency procedures:</w:t>
      </w:r>
      <w:r>
        <w:rPr>
          <w:rFonts w:hint="eastAsia" w:ascii="宋体" w:hAnsi="宋体" w:eastAsia="宋体" w:cs="宋体"/>
          <w:color w:val="auto"/>
          <w:sz w:val="24"/>
          <w:szCs w:val="24"/>
        </w:rPr>
        <w:t xml:space="preserve"> Use personal protective equipment. Prevent dust generation. Prevent inhalation of vapors, mists or gases. Ensure adequate ventilation and evacuate personnel to safe areas.</w:t>
      </w:r>
    </w:p>
    <w:p w14:paraId="51D7F6D9">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color w:val="auto"/>
          <w:sz w:val="24"/>
          <w:szCs w:val="24"/>
        </w:rPr>
      </w:pPr>
      <w:r>
        <w:rPr>
          <w:rFonts w:hint="eastAsia" w:ascii="宋体" w:hAnsi="宋体" w:eastAsia="宋体" w:cs="宋体"/>
          <w:b/>
          <w:bCs/>
          <w:color w:val="auto"/>
          <w:sz w:val="24"/>
          <w:szCs w:val="24"/>
        </w:rPr>
        <w:t>环境预防措施</w:t>
      </w:r>
      <w:r>
        <w:rPr>
          <w:rFonts w:hint="eastAsia" w:cs="宋体"/>
          <w:b/>
          <w:bCs/>
          <w:color w:val="auto"/>
          <w:sz w:val="24"/>
          <w:szCs w:val="24"/>
          <w:lang w:val="en-US" w:eastAsia="zh-CN"/>
        </w:rPr>
        <w:t>:</w:t>
      </w:r>
      <w:r>
        <w:rPr>
          <w:rFonts w:ascii="宋体" w:hAnsi="宋体" w:eastAsia="宋体" w:cs="宋体"/>
          <w:color w:val="auto"/>
          <w:sz w:val="24"/>
          <w:szCs w:val="24"/>
        </w:rPr>
        <w:t>避免溢出物扩散和流走，避免溢出物接触进入土壤、河流、下水道和污水管道。如产品已经导致环境污染（下水道，水道，土壤或空气）</w:t>
      </w:r>
      <w:r>
        <w:rPr>
          <w:rFonts w:hint="eastAsia" w:cs="宋体"/>
          <w:color w:val="auto"/>
          <w:sz w:val="24"/>
          <w:szCs w:val="24"/>
          <w:lang w:eastAsia="zh-CN"/>
        </w:rPr>
        <w:t>，</w:t>
      </w:r>
      <w:r>
        <w:rPr>
          <w:rFonts w:ascii="宋体" w:hAnsi="宋体" w:eastAsia="宋体" w:cs="宋体"/>
          <w:color w:val="auto"/>
          <w:sz w:val="24"/>
          <w:szCs w:val="24"/>
        </w:rPr>
        <w:t>请通知有关当局。</w:t>
      </w:r>
    </w:p>
    <w:p w14:paraId="4CA2176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Environmental precautions:</w:t>
      </w:r>
      <w:r>
        <w:rPr>
          <w:rFonts w:hint="eastAsia" w:ascii="宋体" w:hAnsi="宋体" w:eastAsia="宋体" w:cs="宋体"/>
          <w:color w:val="auto"/>
          <w:sz w:val="24"/>
          <w:szCs w:val="24"/>
        </w:rPr>
        <w:t xml:space="preserve"> Avoid spills from spreading and running away, and avoid spills from coming into contact with soil, rivers, drains and sewage pipes. If the product has caused environmental pollution (drains, waterways, soil or air), please inform the relevant authorities.</w:t>
      </w:r>
    </w:p>
    <w:p w14:paraId="29D5442E">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color w:val="auto"/>
          <w:sz w:val="24"/>
          <w:szCs w:val="24"/>
        </w:rPr>
      </w:pPr>
      <w:r>
        <w:rPr>
          <w:rFonts w:hint="eastAsia" w:ascii="宋体" w:hAnsi="宋体" w:eastAsia="宋体" w:cs="宋体"/>
          <w:b/>
          <w:bCs/>
          <w:color w:val="auto"/>
          <w:sz w:val="24"/>
          <w:szCs w:val="24"/>
        </w:rPr>
        <w:t>抑制和清除溢出物的方法和材料</w:t>
      </w:r>
      <w:r>
        <w:rPr>
          <w:rFonts w:hint="eastAsia" w:cs="宋体"/>
          <w:b/>
          <w:bCs/>
          <w:color w:val="auto"/>
          <w:sz w:val="24"/>
          <w:szCs w:val="24"/>
          <w:lang w:val="en-US" w:eastAsia="zh-CN"/>
        </w:rPr>
        <w:t xml:space="preserve">: </w:t>
      </w:r>
      <w:r>
        <w:rPr>
          <w:rFonts w:ascii="宋体" w:hAnsi="宋体" w:eastAsia="宋体" w:cs="宋体"/>
          <w:color w:val="auto"/>
          <w:sz w:val="24"/>
          <w:szCs w:val="24"/>
        </w:rPr>
        <w:t>将容器移离泄漏区域。 用吸尘器清理或彻底清扫污染物并将其放在贴有指定标签的废弃物容器中</w:t>
      </w:r>
      <w:r>
        <w:rPr>
          <w:rFonts w:hint="eastAsia" w:cs="宋体"/>
          <w:color w:val="auto"/>
          <w:sz w:val="24"/>
          <w:szCs w:val="24"/>
          <w:lang w:eastAsia="zh-CN"/>
        </w:rPr>
        <w:t>。</w:t>
      </w:r>
      <w:r>
        <w:rPr>
          <w:rFonts w:ascii="宋体" w:hAnsi="宋体" w:eastAsia="宋体" w:cs="宋体"/>
          <w:color w:val="auto"/>
          <w:sz w:val="24"/>
          <w:szCs w:val="24"/>
        </w:rPr>
        <w:t xml:space="preserve"> </w:t>
      </w:r>
    </w:p>
    <w:p w14:paraId="46A7F73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Methods and materials for containment and cleanup:</w:t>
      </w:r>
      <w:r>
        <w:rPr>
          <w:rFonts w:hint="eastAsia" w:ascii="宋体" w:hAnsi="宋体" w:eastAsia="宋体" w:cs="宋体"/>
          <w:color w:val="auto"/>
          <w:sz w:val="24"/>
          <w:szCs w:val="24"/>
        </w:rPr>
        <w:t xml:space="preserve"> Move containers away from spill area. Vacuum or sweep up contamination and place in a designated, labeled waste container.</w:t>
      </w:r>
    </w:p>
    <w:p w14:paraId="37C6DCAD">
      <w:pPr>
        <w:pStyle w:val="9"/>
        <w:spacing w:before="71" w:line="221" w:lineRule="auto"/>
        <w:ind w:left="239" w:leftChars="114" w:firstLine="0" w:firstLineChars="0"/>
        <w:outlineLvl w:val="0"/>
        <w:rPr>
          <w:rFonts w:hint="default" w:ascii="Helvetica" w:hAnsi="Helvetica" w:eastAsia="Helvetica" w:cs="Helvetica"/>
          <w:i w:val="0"/>
          <w:iCs w:val="0"/>
          <w:caps w:val="0"/>
          <w:color w:val="auto"/>
          <w:spacing w:val="0"/>
          <w:sz w:val="21"/>
          <w:szCs w:val="21"/>
          <w:shd w:val="clear" w:fill="FFFFFF"/>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7.</w:t>
      </w:r>
      <w:r>
        <w:rPr>
          <w:rFonts w:hint="eastAsia" w:ascii="Times New Roman" w:hAnsi="Times New Roman" w:eastAsia="宋体" w:cs="宋体"/>
          <w:b/>
          <w:color w:val="auto"/>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color w:val="auto"/>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color w:val="auto"/>
          <w:sz w:val="24"/>
          <w:szCs w:val="24"/>
        </w:rPr>
        <w:t>安全操作的注意事项</w:t>
      </w:r>
      <w:r>
        <w:rPr>
          <w:rFonts w:hint="eastAsia" w:ascii="宋体" w:hAnsi="宋体" w:eastAsia="宋体" w:cs="宋体"/>
          <w:b/>
          <w:bCs/>
          <w:color w:val="auto"/>
          <w:sz w:val="24"/>
          <w:szCs w:val="24"/>
          <w:lang w:val="en-US" w:eastAsia="zh-CN"/>
        </w:rPr>
        <w:t>:</w:t>
      </w:r>
      <w:r>
        <w:rPr>
          <w:rFonts w:ascii="Arial" w:hAnsi="Arial" w:eastAsia="宋体" w:cs="Arial"/>
          <w:i w:val="0"/>
          <w:iCs w:val="0"/>
          <w:caps w:val="0"/>
          <w:color w:val="auto"/>
          <w:spacing w:val="0"/>
          <w:sz w:val="21"/>
          <w:szCs w:val="21"/>
        </w:rPr>
        <w:t> </w:t>
      </w:r>
      <w:r>
        <w:rPr>
          <w:rFonts w:hint="eastAsia" w:ascii="宋体" w:hAnsi="宋体" w:eastAsia="宋体" w:cs="宋体"/>
          <w:i w:val="0"/>
          <w:iCs w:val="0"/>
          <w:caps w:val="0"/>
          <w:color w:val="auto"/>
          <w:spacing w:val="0"/>
          <w:sz w:val="24"/>
          <w:szCs w:val="24"/>
        </w:rPr>
        <w:t>防止粉尘和气溶胶生成。在有粉尘生成的地方,提供合适的排风设备。一般性的防火保护措施。</w:t>
      </w:r>
    </w:p>
    <w:p w14:paraId="0281CD4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Prevent dust and aerosol formation. Provide suitable exhaust ventilation where dust is generated. General fire protection measures.</w:t>
      </w: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ascii="宋体" w:hAnsi="宋体" w:eastAsia="宋体" w:cs="宋体"/>
          <w:color w:val="auto"/>
          <w:sz w:val="24"/>
          <w:szCs w:val="24"/>
        </w:rPr>
        <w:t>按照当地法规要求来储存。储存于原装容器中，防止直接光照，置于干燥、凉爽和通风良好的区域，远离禁忌物、食品和饮料</w:t>
      </w:r>
      <w:r>
        <w:rPr>
          <w:rFonts w:hint="eastAsia" w:ascii="宋体" w:hAnsi="宋体" w:eastAsia="宋体" w:cs="宋体"/>
          <w:color w:val="auto"/>
          <w:sz w:val="24"/>
          <w:szCs w:val="24"/>
          <w:lang w:eastAsia="zh-CN"/>
        </w:rPr>
        <w:t>，</w:t>
      </w:r>
      <w:r>
        <w:rPr>
          <w:rFonts w:ascii="宋体" w:hAnsi="宋体" w:eastAsia="宋体" w:cs="宋体"/>
          <w:color w:val="auto"/>
          <w:sz w:val="24"/>
          <w:szCs w:val="24"/>
        </w:rPr>
        <w:t xml:space="preserve">上锁保管。使用容器前，保持容器关紧与密封。已开封的容器必须小心地再封好，并保持直立以防止漏出。请勿储存在未加标签的容器中。采用合适的收容方式以防止污染环境。 </w:t>
      </w:r>
    </w:p>
    <w:p w14:paraId="060E857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accordance with local regulations. Store in original container, protected from direct sunlight, in a dry, cool and well-ventilated area, away from incompatible materials, food and beverages, and locked up. Keep container tightly closed and sealed until use. Opened containers must be carefully resealed and kept upright to prevent leakage. Do not store in unlabeled containers. Use appropriate containment to prevent environmental contamination.</w:t>
      </w:r>
    </w:p>
    <w:p w14:paraId="18970A2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i w:val="0"/>
          <w:iCs w:val="0"/>
          <w:caps w:val="0"/>
          <w:color w:val="auto"/>
          <w:spacing w:val="0"/>
          <w:sz w:val="24"/>
          <w:szCs w:val="24"/>
          <w:shd w:val="clear" w:fill="FFFFFF"/>
        </w:rPr>
        <w:t>尽可能安装封闭体系或局部排风系统，操作人员切勿直接接触。同时安装淋浴器和洗眼器。</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Install a closed system or local exhaust system as much as possible, and operators should not come into direct contact with it. Also install a shower and eyewash station.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4624"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红棕色Reddish brown</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4624"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5"/>
              </w:rPr>
              <w:t>粉末</w:t>
            </w:r>
            <w:r>
              <w:rPr>
                <w:rFonts w:hint="eastAsia"/>
                <w:color w:val="auto"/>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4624"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6"/>
              </w:rPr>
              <w:t>无味</w:t>
            </w:r>
            <w:r>
              <w:rPr>
                <w:rFonts w:hint="eastAsia"/>
                <w:color w:val="auto"/>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446" w:type="dxa"/>
            <w:vAlign w:val="center"/>
          </w:tcPr>
          <w:p w14:paraId="3C951135">
            <w:pPr>
              <w:pStyle w:val="9"/>
              <w:keepNext w:val="0"/>
              <w:keepLines w:val="0"/>
              <w:pageBreakBefore w:val="0"/>
              <w:widowControl w:val="0"/>
              <w:kinsoku/>
              <w:wordWrap/>
              <w:overflowPunct/>
              <w:topLinePunct w:val="0"/>
              <w:autoSpaceDE/>
              <w:autoSpaceDN/>
              <w:bidi w:val="0"/>
              <w:adjustRightInd/>
              <w:snapToGrid/>
              <w:spacing w:before="192" w:line="360" w:lineRule="exact"/>
              <w:jc w:val="left"/>
              <w:textAlignment w:val="auto"/>
              <w:outlineLvl w:val="0"/>
              <w:rPr>
                <w:b/>
                <w:bCs/>
                <w:color w:val="auto"/>
                <w:spacing w:val="-5"/>
              </w:rPr>
            </w:pPr>
            <w:r>
              <w:rPr>
                <w:b/>
                <w:bCs/>
                <w:color w:val="auto"/>
                <w:spacing w:val="-5"/>
              </w:rPr>
              <w:t>溶解度</w:t>
            </w:r>
          </w:p>
          <w:p w14:paraId="2580889A">
            <w:pPr>
              <w:pStyle w:val="9"/>
              <w:keepNext w:val="0"/>
              <w:keepLines w:val="0"/>
              <w:pageBreakBefore w:val="0"/>
              <w:widowControl w:val="0"/>
              <w:kinsoku/>
              <w:wordWrap/>
              <w:overflowPunct/>
              <w:topLinePunct w:val="0"/>
              <w:autoSpaceDE/>
              <w:autoSpaceDN/>
              <w:bidi w:val="0"/>
              <w:adjustRightInd/>
              <w:snapToGrid/>
              <w:spacing w:before="192" w:line="360" w:lineRule="exact"/>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spacing w:val="-5"/>
              </w:rPr>
              <w:t>Solubility</w:t>
            </w:r>
          </w:p>
        </w:tc>
        <w:tc>
          <w:tcPr>
            <w:tcW w:w="4624" w:type="dxa"/>
            <w:vAlign w:val="center"/>
          </w:tcPr>
          <w:p w14:paraId="7E34C88F">
            <w:pPr>
              <w:pStyle w:val="9"/>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ascii="宋体" w:hAnsi="宋体" w:eastAsia="宋体" w:cs="宋体"/>
                <w:color w:val="auto"/>
                <w:sz w:val="24"/>
                <w:szCs w:val="24"/>
              </w:rPr>
            </w:pPr>
            <w:r>
              <w:rPr>
                <w:rFonts w:ascii="宋体" w:hAnsi="宋体" w:eastAsia="宋体" w:cs="宋体"/>
                <w:color w:val="auto"/>
                <w:sz w:val="24"/>
                <w:szCs w:val="24"/>
              </w:rPr>
              <w:t>不溶于水，</w:t>
            </w:r>
            <w:r>
              <w:rPr>
                <w:rFonts w:hint="eastAsia" w:ascii="宋体" w:hAnsi="宋体" w:eastAsia="宋体" w:cs="宋体"/>
                <w:i w:val="0"/>
                <w:iCs w:val="0"/>
                <w:caps w:val="0"/>
                <w:color w:val="auto"/>
                <w:spacing w:val="0"/>
                <w:sz w:val="24"/>
                <w:szCs w:val="24"/>
                <w:shd w:val="clear" w:fill="FFFFFF"/>
              </w:rPr>
              <w:t>在浓酸中加热逐渐溶解</w:t>
            </w:r>
          </w:p>
          <w:p w14:paraId="12B504FA">
            <w:pPr>
              <w:pStyle w:val="9"/>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Insoluble in water, gradually dissolves when heated in concentrated acid</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color w:val="auto"/>
                <w:lang w:val="en-US" w:eastAsia="zh-CN"/>
              </w:rPr>
            </w:pPr>
            <w:r>
              <w:rPr>
                <w:rFonts w:hint="eastAsia"/>
                <w:b/>
                <w:bCs/>
                <w:color w:val="auto"/>
                <w:lang w:val="en-US" w:eastAsia="zh-CN"/>
              </w:rPr>
              <w:t>相对密度</w:t>
            </w:r>
          </w:p>
          <w:p w14:paraId="2E23E2D7">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lang w:val="en-US" w:eastAsia="zh-CN"/>
              </w:rPr>
              <w:t>Relative density</w:t>
            </w:r>
          </w:p>
        </w:tc>
        <w:tc>
          <w:tcPr>
            <w:tcW w:w="4624" w:type="dxa"/>
            <w:vAlign w:val="center"/>
          </w:tcPr>
          <w:p w14:paraId="73A03C99">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cs="宋体"/>
                <w:i w:val="0"/>
                <w:iCs w:val="0"/>
                <w:caps w:val="0"/>
                <w:color w:val="auto"/>
                <w:spacing w:val="0"/>
                <w:sz w:val="24"/>
                <w:szCs w:val="24"/>
                <w:shd w:val="clear" w:fill="FFFFFF"/>
                <w:lang w:val="en-US" w:eastAsia="zh-CN"/>
              </w:rPr>
              <w:t>5.120</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color w:val="auto"/>
                <w:spacing w:val="-6"/>
              </w:rPr>
              <w:t>熔点</w:t>
            </w:r>
            <w:r>
              <w:rPr>
                <w:rFonts w:hint="eastAsia"/>
                <w:b/>
                <w:bCs/>
                <w:color w:val="auto"/>
                <w:spacing w:val="-6"/>
              </w:rPr>
              <w:t>Melting point</w:t>
            </w:r>
          </w:p>
        </w:tc>
        <w:tc>
          <w:tcPr>
            <w:tcW w:w="4624"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6"/>
                <w:lang w:val="en-US" w:eastAsia="zh-CN"/>
              </w:rPr>
              <w:t>1538</w:t>
            </w:r>
            <w:r>
              <w:rPr>
                <w:color w:val="auto"/>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本产品在标准大气状态(室温)下化学性质稳定。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The chemical properties of this product are stable under standard atmospheric conditions (room temperature).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i w:val="0"/>
          <w:iCs w:val="0"/>
          <w:caps w:val="0"/>
          <w:color w:val="auto"/>
          <w:spacing w:val="0"/>
          <w:kern w:val="2"/>
          <w:sz w:val="24"/>
          <w:szCs w:val="24"/>
          <w:shd w:val="clear" w:fill="FFFFFF"/>
          <w:lang w:val="en-US" w:eastAsia="zh-CN" w:bidi="ar-SA"/>
        </w:rPr>
        <w:t>不相容的材料：</w:t>
      </w:r>
      <w:r>
        <w:rPr>
          <w:rFonts w:hint="eastAsia" w:ascii="宋体" w:hAnsi="宋体" w:eastAsia="宋体" w:cs="宋体"/>
          <w:i w:val="0"/>
          <w:iCs w:val="0"/>
          <w:caps w:val="0"/>
          <w:color w:val="auto"/>
          <w:spacing w:val="0"/>
          <w:sz w:val="24"/>
          <w:szCs w:val="24"/>
          <w:shd w:val="clear" w:fill="FFFFFF"/>
        </w:rPr>
        <w:t>氯甲酸酯, 过氧化物, 强酸强酸, 过氧化物, 氯甲酸酯</w:t>
      </w:r>
      <w:bookmarkStart w:id="0" w:name="_GoBack"/>
      <w:bookmarkEnd w:id="0"/>
      <w:r>
        <w:rPr>
          <w:rFonts w:hint="eastAsia" w:ascii="宋体" w:hAnsi="宋体" w:eastAsia="宋体" w:cs="宋体"/>
          <w:i w:val="0"/>
          <w:iCs w:val="0"/>
          <w:caps w:val="0"/>
          <w:color w:val="auto"/>
          <w:spacing w:val="0"/>
          <w:sz w:val="24"/>
          <w:szCs w:val="24"/>
          <w:shd w:val="clear" w:fill="FFFFFF"/>
          <w:lang w:eastAsia="zh-CN"/>
        </w:rPr>
        <w:t>。</w:t>
      </w:r>
    </w:p>
    <w:p w14:paraId="786F73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Chloroformates, Peroxides, Strong AcidsStrong Acids, Peroxides, Chloroformates</w:t>
      </w:r>
      <w:r>
        <w:rPr>
          <w:rFonts w:hint="eastAsia" w:ascii="宋体" w:hAnsi="宋体" w:eastAsia="宋体" w:cs="宋体"/>
          <w:i w:val="0"/>
          <w:iCs w:val="0"/>
          <w:caps w:val="0"/>
          <w:color w:val="auto"/>
          <w:spacing w:val="0"/>
          <w:sz w:val="24"/>
          <w:szCs w:val="24"/>
          <w:shd w:val="clear" w:fill="FFFFFF"/>
        </w:rPr>
        <w:t>.</w:t>
      </w:r>
    </w:p>
    <w:p w14:paraId="4449C6D2">
      <w:pPr>
        <w:numPr>
          <w:ilvl w:val="0"/>
          <w:numId w:val="0"/>
        </w:numPr>
        <w:jc w:val="left"/>
        <w:rPr>
          <w:rFonts w:hint="default" w:ascii="宋体" w:hAnsi="宋体" w:eastAsia="宋体" w:cs="宋体"/>
          <w:b/>
          <w:bCs/>
          <w:color w:val="auto"/>
          <w:kern w:val="2"/>
          <w:sz w:val="24"/>
          <w:szCs w:val="24"/>
          <w:lang w:val="en-US" w:eastAsia="zh-CN" w:bidi="ar-SA"/>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9"/>
        <w:spacing w:before="78" w:line="239" w:lineRule="auto"/>
        <w:ind w:left="463"/>
        <w:rPr>
          <w:rFonts w:hint="eastAsia"/>
          <w:color w:val="auto"/>
          <w:spacing w:val="-26"/>
          <w:w w:val="97"/>
          <w:lang w:val="en-US" w:eastAsia="zh-CN"/>
        </w:rPr>
      </w:pPr>
    </w:p>
    <w:p w14:paraId="1331D7AB">
      <w:pPr>
        <w:pStyle w:val="9"/>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rPr>
        <w:t>急性毒性：</w:t>
      </w:r>
      <w:r>
        <w:rPr>
          <w:rFonts w:hint="eastAsia" w:cs="宋体"/>
          <w:b w:val="0"/>
          <w:bCs w:val="0"/>
          <w:i w:val="0"/>
          <w:iCs w:val="0"/>
          <w:caps w:val="0"/>
          <w:color w:val="auto"/>
          <w:spacing w:val="0"/>
          <w:sz w:val="24"/>
          <w:szCs w:val="24"/>
          <w:shd w:val="clear" w:fill="FFFFFF"/>
          <w:lang w:val="en-US" w:eastAsia="zh-CN"/>
        </w:rPr>
        <w:t>无资料</w:t>
      </w:r>
    </w:p>
    <w:p w14:paraId="1339307E">
      <w:pPr>
        <w:pStyle w:val="9"/>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bCs/>
          <w:i w:val="0"/>
          <w:iCs w:val="0"/>
          <w:caps w:val="0"/>
          <w:color w:val="auto"/>
          <w:spacing w:val="0"/>
          <w:sz w:val="24"/>
          <w:szCs w:val="24"/>
          <w:shd w:val="clear" w:fill="FFFFFF"/>
          <w:lang w:val="en-US" w:eastAsia="zh-CN"/>
        </w:rPr>
        <w:t>Acute toxicity:</w:t>
      </w:r>
      <w:r>
        <w:rPr>
          <w:rFonts w:hint="eastAsia" w:cs="宋体"/>
          <w:b w:val="0"/>
          <w:bCs w:val="0"/>
          <w:i w:val="0"/>
          <w:iCs w:val="0"/>
          <w:caps w:val="0"/>
          <w:color w:val="auto"/>
          <w:spacing w:val="0"/>
          <w:sz w:val="24"/>
          <w:szCs w:val="24"/>
          <w:shd w:val="clear" w:fill="FFFFFF"/>
          <w:lang w:val="en-US" w:eastAsia="zh-CN"/>
        </w:rPr>
        <w:t xml:space="preserve"> No data</w:t>
      </w:r>
    </w:p>
    <w:p w14:paraId="140E4B79">
      <w:pPr>
        <w:numPr>
          <w:ilvl w:val="0"/>
          <w:numId w:val="0"/>
        </w:numPr>
        <w:ind w:leftChars="114"/>
        <w:jc w:val="left"/>
        <w:rPr>
          <w:rFonts w:hint="default" w:ascii="宋体" w:hAnsi="宋体" w:eastAsia="宋体" w:cs="宋体"/>
          <w:color w:val="auto"/>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552F96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firstLine="221" w:firstLineChars="100"/>
        <w:jc w:val="left"/>
        <w:textAlignment w:val="auto"/>
        <w:rPr>
          <w:rFonts w:hint="eastAsia" w:ascii="宋体" w:hAnsi="宋体" w:eastAsia="宋体" w:cs="宋体"/>
          <w:b w:val="0"/>
          <w:bCs w:val="0"/>
          <w:color w:val="auto"/>
          <w:spacing w:val="-10"/>
          <w:sz w:val="24"/>
          <w:szCs w:val="24"/>
          <w:lang w:val="en-US" w:eastAsia="zh-CN"/>
        </w:rPr>
      </w:pPr>
      <w:r>
        <w:rPr>
          <w:rFonts w:hint="eastAsia" w:ascii="宋体" w:hAnsi="宋体" w:eastAsia="宋体" w:cs="宋体"/>
          <w:b/>
          <w:bCs/>
          <w:color w:val="auto"/>
          <w:spacing w:val="-10"/>
          <w:sz w:val="24"/>
          <w:szCs w:val="24"/>
          <w:lang w:val="en-US" w:eastAsia="zh-CN"/>
        </w:rPr>
        <w:t>无资料</w:t>
      </w:r>
      <w:r>
        <w:rPr>
          <w:rFonts w:hint="eastAsia" w:ascii="宋体" w:hAnsi="宋体" w:eastAsia="宋体" w:cs="宋体"/>
          <w:b w:val="0"/>
          <w:bCs w:val="0"/>
          <w:color w:val="auto"/>
          <w:spacing w:val="-10"/>
          <w:sz w:val="24"/>
          <w:szCs w:val="24"/>
          <w:lang w:val="en-US" w:eastAsia="zh-CN"/>
        </w:rPr>
        <w:t>No data</w:t>
      </w:r>
    </w:p>
    <w:p w14:paraId="0969684D">
      <w:pPr>
        <w:numPr>
          <w:ilvl w:val="0"/>
          <w:numId w:val="0"/>
        </w:numPr>
        <w:ind w:leftChars="114"/>
        <w:jc w:val="left"/>
        <w:rPr>
          <w:rFonts w:hint="eastAsia" w:ascii="宋体" w:hAnsi="宋体" w:eastAsia="宋体" w:cs="宋体"/>
          <w:b/>
          <w:bCs/>
          <w:color w:val="auto"/>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9"/>
        <w:spacing w:before="79" w:line="239" w:lineRule="auto"/>
        <w:ind w:left="463"/>
        <w:rPr>
          <w:color w:val="auto"/>
          <w:spacing w:val="-10"/>
        </w:rPr>
      </w:pPr>
    </w:p>
    <w:p w14:paraId="4F79826D">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eastAsia="zh-CN"/>
        </w:rPr>
      </w:pPr>
      <w:r>
        <w:rPr>
          <w:b/>
          <w:bCs/>
          <w:color w:val="auto"/>
          <w:spacing w:val="-10"/>
        </w:rPr>
        <w:t>废弃处置方法：</w:t>
      </w:r>
      <w:r>
        <w:rPr>
          <w:rFonts w:ascii="宋体" w:hAnsi="宋体" w:eastAsia="宋体" w:cs="宋体"/>
          <w:color w:val="auto"/>
          <w:sz w:val="24"/>
          <w:szCs w:val="24"/>
        </w:rPr>
        <w:t>应尽可能避免或减少废物的产生。产品、溶液和其副产品的处置应符合环境保护、废弃物处理法规和当地相关法规的要求。经由特许的废弃物处理合同商处理剩余物与非再生产品。废物不应未经处置就排入下水道，除非完全符合所有管辖权内主管机构的要求</w:t>
      </w:r>
      <w:r>
        <w:rPr>
          <w:rFonts w:hint="eastAsia" w:cs="宋体"/>
          <w:color w:val="auto"/>
          <w:sz w:val="24"/>
          <w:szCs w:val="24"/>
          <w:lang w:eastAsia="zh-CN"/>
        </w:rPr>
        <w:t>。</w:t>
      </w:r>
      <w:r>
        <w:rPr>
          <w:rFonts w:ascii="宋体" w:hAnsi="宋体" w:eastAsia="宋体" w:cs="宋体"/>
          <w:color w:val="auto"/>
          <w:sz w:val="24"/>
          <w:szCs w:val="24"/>
        </w:rPr>
        <w:t>包装废弃物应回收</w:t>
      </w:r>
      <w:r>
        <w:rPr>
          <w:rFonts w:hint="eastAsia" w:cs="宋体"/>
          <w:color w:val="auto"/>
          <w:sz w:val="24"/>
          <w:szCs w:val="24"/>
          <w:lang w:eastAsia="zh-CN"/>
        </w:rPr>
        <w:t>，</w:t>
      </w:r>
      <w:r>
        <w:rPr>
          <w:rFonts w:ascii="宋体" w:hAnsi="宋体" w:eastAsia="宋体" w:cs="宋体"/>
          <w:color w:val="auto"/>
          <w:sz w:val="24"/>
          <w:szCs w:val="24"/>
        </w:rPr>
        <w:t>仅在回收利用不可行时，才考虑焚烧或填埋</w:t>
      </w:r>
      <w:r>
        <w:rPr>
          <w:rFonts w:hint="eastAsia" w:cs="宋体"/>
          <w:color w:val="auto"/>
          <w:sz w:val="24"/>
          <w:szCs w:val="24"/>
          <w:lang w:eastAsia="zh-CN"/>
        </w:rPr>
        <w:t>。</w:t>
      </w:r>
      <w:r>
        <w:rPr>
          <w:rFonts w:ascii="宋体" w:hAnsi="宋体" w:eastAsia="宋体" w:cs="宋体"/>
          <w:color w:val="auto"/>
          <w:sz w:val="24"/>
          <w:szCs w:val="24"/>
        </w:rPr>
        <w:t>采用安全的方法处理本品及其容器。操作处置没有清洁或冲洗的空容器时，应小心处理。空的容器或内衬可能保留一些产品的残余物</w:t>
      </w:r>
      <w:r>
        <w:rPr>
          <w:rFonts w:hint="eastAsia" w:cs="宋体"/>
          <w:color w:val="auto"/>
          <w:sz w:val="24"/>
          <w:szCs w:val="24"/>
          <w:lang w:eastAsia="zh-CN"/>
        </w:rPr>
        <w:t>。</w:t>
      </w:r>
      <w:r>
        <w:rPr>
          <w:rFonts w:ascii="宋体" w:hAnsi="宋体" w:eastAsia="宋体" w:cs="宋体"/>
          <w:color w:val="auto"/>
          <w:sz w:val="24"/>
          <w:szCs w:val="24"/>
        </w:rPr>
        <w:t>避免溢出物扩散和流走，避免溢出物接触进入土壤、河流、下水道和污水管道</w:t>
      </w:r>
      <w:r>
        <w:rPr>
          <w:rFonts w:hint="eastAsia" w:cs="宋体"/>
          <w:color w:val="auto"/>
          <w:sz w:val="24"/>
          <w:szCs w:val="24"/>
          <w:lang w:eastAsia="zh-CN"/>
        </w:rPr>
        <w:t>。</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The generation of waste should be avoided or reduced as far as possible. The disposal of products, solutions and their by-products should comply with the requirements of environmental protection, waste disposal regulations and relevant local regulations. Dispose of surplus and non-recycled products through licensed waste disposal contractors. Waste should not be discharged into the sewer without treatment unless the requirements of the competent authorities in all jurisdictions are fully met. Packaging waste should be recycled, and only when recycling is not feasible, incineration or landfill should be considered. Use safe methods to dispose of this product and its container. When handling empty containers without cleaning or rinsing, they should be handled with care. Empty containers or liners may retain some product residues. Avoid the spread and runoff of spills and avoid spills from contacting soil, rivers, sewers and sewage pipes.</w:t>
      </w:r>
    </w:p>
    <w:p w14:paraId="6D854663">
      <w:pPr>
        <w:pStyle w:val="9"/>
        <w:spacing w:before="79" w:line="239" w:lineRule="auto"/>
        <w:ind w:left="463"/>
        <w:rPr>
          <w:rFonts w:hint="eastAsia" w:ascii="宋体" w:hAnsi="宋体" w:eastAsia="宋体" w:cs="宋体"/>
          <w:color w:val="auto"/>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9"/>
        <w:spacing w:before="79" w:line="239" w:lineRule="auto"/>
        <w:ind w:left="463"/>
        <w:rPr>
          <w:rFonts w:ascii="宋体" w:hAnsi="宋体" w:eastAsia="宋体" w:cs="宋体"/>
          <w:color w:val="auto"/>
          <w:sz w:val="24"/>
          <w:szCs w:val="24"/>
        </w:rPr>
      </w:pPr>
    </w:p>
    <w:p w14:paraId="794A3808">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运输品名：</w:t>
      </w:r>
      <w:r>
        <w:rPr>
          <w:rFonts w:hint="eastAsia" w:asciiTheme="minorEastAsia" w:hAnsiTheme="minorEastAsia" w:cstheme="minorEastAsia"/>
          <w:b w:val="0"/>
          <w:bCs/>
          <w:color w:val="auto"/>
          <w:sz w:val="24"/>
          <w:szCs w:val="24"/>
          <w:lang w:val="en-US" w:eastAsia="zh-CN"/>
        </w:rPr>
        <w:t>三氧化二铁</w:t>
      </w:r>
    </w:p>
    <w:p w14:paraId="601B771B">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 xml:space="preserve">Ferric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r>
        <w:rPr>
          <w:rFonts w:ascii="宋体" w:hAnsi="宋体" w:eastAsia="宋体" w:cs="宋体"/>
          <w:color w:val="auto"/>
          <w:sz w:val="24"/>
          <w:szCs w:val="24"/>
        </w:rPr>
        <w:t>。</w:t>
      </w:r>
    </w:p>
    <w:p w14:paraId="2B01CBA3">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w:t>
      </w:r>
      <w:r>
        <w:rPr>
          <w:rFonts w:hint="eastAsia" w:cs="宋体"/>
          <w:color w:val="auto"/>
          <w:sz w:val="24"/>
          <w:szCs w:val="24"/>
          <w:lang w:eastAsia="zh-CN"/>
        </w:rPr>
        <w:t>，</w:t>
      </w:r>
      <w:r>
        <w:rPr>
          <w:rFonts w:ascii="宋体" w:hAnsi="宋体" w:eastAsia="宋体" w:cs="宋体"/>
          <w:color w:val="auto"/>
          <w:sz w:val="24"/>
          <w:szCs w:val="24"/>
        </w:rPr>
        <w:t>保持容器密封。搬运时要轻装轻卸，防止包装及容器损坏。分装和搬运作业要注意个人防护。操作现场不得吸烟、饮水、进食。</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and keep the container sealed. Be careful when handling to prevent damage to the packaging and container. Pay attention to personal protection during packaging and handling. Do not smoke, drink water, or eat at the operation site.</w:t>
      </w:r>
    </w:p>
    <w:p w14:paraId="454A4918">
      <w:pPr>
        <w:pStyle w:val="9"/>
        <w:spacing w:before="79" w:line="239" w:lineRule="auto"/>
        <w:ind w:left="463"/>
        <w:rPr>
          <w:rFonts w:hint="eastAsia" w:cs="宋体"/>
          <w:color w:val="auto"/>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9"/>
        <w:spacing w:before="79" w:line="239" w:lineRule="auto"/>
        <w:ind w:left="463"/>
        <w:rPr>
          <w:rFonts w:ascii="宋体" w:hAnsi="宋体" w:eastAsia="宋体" w:cs="宋体"/>
          <w:color w:val="auto"/>
          <w:sz w:val="24"/>
          <w:szCs w:val="24"/>
        </w:rPr>
      </w:pPr>
    </w:p>
    <w:p w14:paraId="6741244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2584A009">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24505BB9">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1F3F0EB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01FAC160">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3F3D6131">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31C13C51">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3F83AE82">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6913489D">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the Safety Management of Hazardous Chemicals;</w:t>
      </w:r>
    </w:p>
    <w:p w14:paraId="76398234">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Production Safety Permits.</w:t>
      </w:r>
    </w:p>
    <w:p w14:paraId="3FF2F6F1">
      <w:pPr>
        <w:pStyle w:val="9"/>
        <w:spacing w:before="79" w:line="239" w:lineRule="auto"/>
        <w:rPr>
          <w:rFonts w:hint="eastAsia" w:ascii="宋体" w:hAnsi="宋体" w:eastAsia="宋体" w:cs="宋体"/>
          <w:b w:val="0"/>
          <w:bCs w:val="0"/>
          <w:color w:val="auto"/>
          <w:sz w:val="24"/>
          <w:szCs w:val="24"/>
        </w:rPr>
      </w:pPr>
    </w:p>
    <w:p w14:paraId="669747BE">
      <w:pPr>
        <w:pStyle w:val="9"/>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1B9467D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68F4B979">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50AA9C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737B70"/>
    <w:rsid w:val="01AF5332"/>
    <w:rsid w:val="03217AD1"/>
    <w:rsid w:val="03F84EDA"/>
    <w:rsid w:val="05453FE3"/>
    <w:rsid w:val="0547212C"/>
    <w:rsid w:val="08AA23AF"/>
    <w:rsid w:val="0902043D"/>
    <w:rsid w:val="0B7C44D7"/>
    <w:rsid w:val="0BD95485"/>
    <w:rsid w:val="0E8C2C83"/>
    <w:rsid w:val="0EE35C69"/>
    <w:rsid w:val="13225964"/>
    <w:rsid w:val="137C4AC0"/>
    <w:rsid w:val="13E946D3"/>
    <w:rsid w:val="1562473D"/>
    <w:rsid w:val="15B42ABF"/>
    <w:rsid w:val="16414353"/>
    <w:rsid w:val="16557DFE"/>
    <w:rsid w:val="17EE050A"/>
    <w:rsid w:val="18A13E9F"/>
    <w:rsid w:val="1AA72BF2"/>
    <w:rsid w:val="1C0B3605"/>
    <w:rsid w:val="1DA67266"/>
    <w:rsid w:val="1E002EAE"/>
    <w:rsid w:val="1F240CB5"/>
    <w:rsid w:val="20682008"/>
    <w:rsid w:val="20A025BE"/>
    <w:rsid w:val="20A53008"/>
    <w:rsid w:val="20DB76DB"/>
    <w:rsid w:val="22FF6C13"/>
    <w:rsid w:val="285E2CF4"/>
    <w:rsid w:val="28CD3965"/>
    <w:rsid w:val="2953641F"/>
    <w:rsid w:val="299F1664"/>
    <w:rsid w:val="29CB58F0"/>
    <w:rsid w:val="2CC31B0E"/>
    <w:rsid w:val="30D53BBD"/>
    <w:rsid w:val="35847960"/>
    <w:rsid w:val="3744384B"/>
    <w:rsid w:val="37E62B54"/>
    <w:rsid w:val="39987E7E"/>
    <w:rsid w:val="39C66799"/>
    <w:rsid w:val="3E4E53BC"/>
    <w:rsid w:val="3E8A248B"/>
    <w:rsid w:val="3EAF1EF2"/>
    <w:rsid w:val="3F23643C"/>
    <w:rsid w:val="3FA64F02"/>
    <w:rsid w:val="40AB1B92"/>
    <w:rsid w:val="40EB51F7"/>
    <w:rsid w:val="434B5F61"/>
    <w:rsid w:val="437D25BE"/>
    <w:rsid w:val="43F9776B"/>
    <w:rsid w:val="44024872"/>
    <w:rsid w:val="44931E77"/>
    <w:rsid w:val="466130BB"/>
    <w:rsid w:val="467B1EBE"/>
    <w:rsid w:val="46BC1F75"/>
    <w:rsid w:val="4DA03C92"/>
    <w:rsid w:val="4F7D3946"/>
    <w:rsid w:val="4FCD40E3"/>
    <w:rsid w:val="52642B9B"/>
    <w:rsid w:val="52E53CDC"/>
    <w:rsid w:val="53446C55"/>
    <w:rsid w:val="53A61294"/>
    <w:rsid w:val="55284354"/>
    <w:rsid w:val="55C05B3D"/>
    <w:rsid w:val="57BE4AFC"/>
    <w:rsid w:val="57CA3BBA"/>
    <w:rsid w:val="58B56E78"/>
    <w:rsid w:val="59747B68"/>
    <w:rsid w:val="59C81C62"/>
    <w:rsid w:val="5BC546AB"/>
    <w:rsid w:val="5BF572B0"/>
    <w:rsid w:val="5C877BB2"/>
    <w:rsid w:val="5D355860"/>
    <w:rsid w:val="5DB02381"/>
    <w:rsid w:val="61D37ED8"/>
    <w:rsid w:val="63E33011"/>
    <w:rsid w:val="65753053"/>
    <w:rsid w:val="68880F3A"/>
    <w:rsid w:val="68F93BE6"/>
    <w:rsid w:val="6EF235B1"/>
    <w:rsid w:val="6F0155FA"/>
    <w:rsid w:val="70AB3A18"/>
    <w:rsid w:val="716B0C86"/>
    <w:rsid w:val="75A51148"/>
    <w:rsid w:val="77AB6D12"/>
    <w:rsid w:val="77D601B0"/>
    <w:rsid w:val="787943FB"/>
    <w:rsid w:val="797B6EE2"/>
    <w:rsid w:val="79CA5398"/>
    <w:rsid w:val="79DF1291"/>
    <w:rsid w:val="7A04063C"/>
    <w:rsid w:val="7A195E96"/>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2663</Words>
  <Characters>7577</Characters>
  <Lines>0</Lines>
  <Paragraphs>0</Paragraphs>
  <TotalTime>0</TotalTime>
  <ScaleCrop>false</ScaleCrop>
  <LinksUpToDate>false</LinksUpToDate>
  <CharactersWithSpaces>13251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2024-09-09T07:31:07Z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06534F83DC634DC78EA79E88AD190D64_11</vt:lpwstr>
  </property>
</Properties>
</file>