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776649AB">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二氧化钛</w:t>
      </w:r>
    </w:p>
    <w:p w14:paraId="62D68C59">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Titanium Dioxide </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3CC2175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二氧化钛</w:t>
      </w:r>
    </w:p>
    <w:p w14:paraId="3B63EBF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Titanium Dioxide</w:t>
      </w:r>
    </w:p>
    <w:p w14:paraId="32FCCB9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hint="eastAsia" w:asciiTheme="minorEastAsia" w:hAnsiTheme="minorEastAsia" w:cstheme="minorEastAsia"/>
          <w:b w:val="0"/>
          <w:bCs/>
          <w:sz w:val="24"/>
          <w:szCs w:val="24"/>
          <w:lang w:val="en-US" w:eastAsia="zh-CN"/>
        </w:rPr>
        <w:t>Titanium Dioxide</w:t>
      </w:r>
    </w:p>
    <w:p w14:paraId="707E30CD">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Titanium Dioxide</w:t>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ascii="宋体" w:hAnsi="宋体" w:eastAsia="宋体" w:cs="宋体"/>
          <w:sz w:val="24"/>
          <w:szCs w:val="24"/>
        </w:rPr>
        <w:t>13</w:t>
      </w:r>
      <w:r>
        <w:rPr>
          <w:rFonts w:hint="eastAsia" w:ascii="宋体" w:hAnsi="宋体" w:eastAsia="宋体" w:cs="宋体"/>
          <w:sz w:val="24"/>
          <w:szCs w:val="24"/>
          <w:lang w:val="en-US" w:eastAsia="zh-CN"/>
        </w:rPr>
        <w:t>17</w:t>
      </w:r>
      <w:r>
        <w:rPr>
          <w:rFonts w:ascii="宋体" w:hAnsi="宋体" w:eastAsia="宋体" w:cs="宋体"/>
          <w:sz w:val="24"/>
          <w:szCs w:val="24"/>
        </w:rPr>
        <w:t>-</w:t>
      </w:r>
      <w:r>
        <w:rPr>
          <w:rFonts w:hint="eastAsia" w:ascii="宋体" w:hAnsi="宋体" w:eastAsia="宋体" w:cs="宋体"/>
          <w:sz w:val="24"/>
          <w:szCs w:val="24"/>
          <w:lang w:val="en-US" w:eastAsia="zh-CN"/>
        </w:rPr>
        <w:t>80</w:t>
      </w:r>
      <w:r>
        <w:rPr>
          <w:rFonts w:ascii="宋体" w:hAnsi="宋体" w:eastAsia="宋体" w:cs="宋体"/>
          <w:sz w:val="24"/>
          <w:szCs w:val="24"/>
        </w:rPr>
        <w:t>-</w:t>
      </w:r>
      <w:r>
        <w:rPr>
          <w:rFonts w:hint="eastAsia" w:ascii="宋体" w:hAnsi="宋体" w:eastAsia="宋体" w:cs="宋体"/>
          <w:sz w:val="24"/>
          <w:szCs w:val="24"/>
          <w:lang w:val="en-US" w:eastAsia="zh-CN"/>
        </w:rPr>
        <w:t>2</w:t>
      </w:r>
      <w:r>
        <w:rPr>
          <w:rFonts w:ascii="宋体" w:hAnsi="宋体" w:eastAsia="宋体" w:cs="宋体"/>
          <w:sz w:val="24"/>
          <w:szCs w:val="24"/>
        </w:rPr>
        <w:t xml:space="preserve"> </w:t>
      </w:r>
    </w:p>
    <w:p w14:paraId="4F9E9AB8">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DXN-TC100.</w:t>
      </w:r>
    </w:p>
    <w:p w14:paraId="201F9BF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分子式：</w:t>
      </w:r>
      <w:r>
        <w:rPr>
          <w:rFonts w:hint="eastAsia" w:ascii="宋体" w:hAnsi="宋体" w:eastAsia="宋体" w:cs="宋体"/>
          <w:i w:val="0"/>
          <w:iCs w:val="0"/>
          <w:caps w:val="0"/>
          <w:color w:val="333333"/>
          <w:spacing w:val="0"/>
          <w:kern w:val="0"/>
          <w:sz w:val="24"/>
          <w:szCs w:val="24"/>
          <w:lang w:val="en-US" w:eastAsia="zh-CN" w:bidi="ar"/>
        </w:rPr>
        <w:t>O</w:t>
      </w:r>
      <w:r>
        <w:rPr>
          <w:rFonts w:hint="eastAsia" w:ascii="宋体" w:hAnsi="宋体" w:eastAsia="宋体" w:cs="宋体"/>
          <w:i w:val="0"/>
          <w:iCs w:val="0"/>
          <w:caps w:val="0"/>
          <w:color w:val="333333"/>
          <w:spacing w:val="0"/>
          <w:kern w:val="0"/>
          <w:sz w:val="24"/>
          <w:szCs w:val="24"/>
          <w:vertAlign w:val="baseline"/>
          <w:lang w:val="en-US" w:eastAsia="zh-CN" w:bidi="ar"/>
        </w:rPr>
        <w:t>2</w:t>
      </w:r>
      <w:r>
        <w:rPr>
          <w:rFonts w:hint="eastAsia" w:ascii="宋体" w:hAnsi="宋体" w:eastAsia="宋体" w:cs="宋体"/>
          <w:i w:val="0"/>
          <w:iCs w:val="0"/>
          <w:caps w:val="0"/>
          <w:color w:val="333333"/>
          <w:spacing w:val="0"/>
          <w:kern w:val="0"/>
          <w:sz w:val="24"/>
          <w:szCs w:val="24"/>
          <w:lang w:val="en-US" w:eastAsia="zh-CN" w:bidi="ar"/>
        </w:rPr>
        <w:t>Ti</w:t>
      </w:r>
    </w:p>
    <w:p w14:paraId="78983A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hint="eastAsia" w:ascii="宋体" w:hAnsi="宋体" w:eastAsia="宋体" w:cs="宋体"/>
          <w:i w:val="0"/>
          <w:iCs w:val="0"/>
          <w:caps w:val="0"/>
          <w:color w:val="333333"/>
          <w:spacing w:val="0"/>
          <w:kern w:val="0"/>
          <w:sz w:val="24"/>
          <w:szCs w:val="24"/>
          <w:lang w:val="en-US" w:eastAsia="zh-CN" w:bidi="ar"/>
        </w:rPr>
        <w:t>O</w:t>
      </w:r>
      <w:r>
        <w:rPr>
          <w:rFonts w:hint="eastAsia" w:ascii="宋体" w:hAnsi="宋体" w:eastAsia="宋体" w:cs="宋体"/>
          <w:i w:val="0"/>
          <w:iCs w:val="0"/>
          <w:caps w:val="0"/>
          <w:color w:val="333333"/>
          <w:spacing w:val="0"/>
          <w:kern w:val="0"/>
          <w:sz w:val="24"/>
          <w:szCs w:val="24"/>
          <w:vertAlign w:val="baseline"/>
          <w:lang w:val="en-US" w:eastAsia="zh-CN" w:bidi="ar"/>
        </w:rPr>
        <w:t>2</w:t>
      </w:r>
      <w:r>
        <w:rPr>
          <w:rFonts w:hint="eastAsia" w:ascii="宋体" w:hAnsi="宋体" w:eastAsia="宋体" w:cs="宋体"/>
          <w:i w:val="0"/>
          <w:iCs w:val="0"/>
          <w:caps w:val="0"/>
          <w:color w:val="333333"/>
          <w:spacing w:val="0"/>
          <w:kern w:val="0"/>
          <w:sz w:val="24"/>
          <w:szCs w:val="24"/>
          <w:lang w:val="en-US" w:eastAsia="zh-CN" w:bidi="ar"/>
        </w:rPr>
        <w:t>Ti</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79.93</w:t>
      </w:r>
    </w:p>
    <w:p w14:paraId="7ECF4BF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79.93</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宋体" w:hAnsi="宋体" w:eastAsia="宋体" w:cs="宋体"/>
          <w:spacing w:val="-2"/>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2"/>
          <w:szCs w:val="22"/>
          <w:lang w:val="en-US" w:eastAsia="zh-CN"/>
        </w:rPr>
        <w:t xml:space="preserve"> </w:t>
      </w:r>
      <w:r>
        <w:rPr>
          <w:rFonts w:hint="eastAsia" w:ascii="宋体" w:hAnsi="宋体" w:eastAsia="宋体" w:cs="宋体"/>
          <w:b/>
          <w:bCs/>
          <w:spacing w:val="-2"/>
          <w:sz w:val="24"/>
          <w:szCs w:val="24"/>
        </w:rPr>
        <w:t>描述：</w:t>
      </w:r>
      <w:r>
        <w:rPr>
          <w:rFonts w:hint="eastAsia" w:ascii="宋体" w:hAnsi="宋体" w:eastAsia="宋体" w:cs="宋体"/>
          <w:spacing w:val="-2"/>
          <w:sz w:val="24"/>
          <w:szCs w:val="24"/>
        </w:rPr>
        <w:t>物质成分配比</w:t>
      </w:r>
    </w:p>
    <w:p w14:paraId="300677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37" w:firstLineChars="100"/>
        <w:jc w:val="left"/>
        <w:textAlignment w:val="auto"/>
        <w:rPr>
          <w:rFonts w:hint="eastAsia" w:ascii="宋体" w:hAnsi="宋体" w:eastAsia="宋体" w:cs="宋体"/>
          <w:sz w:val="24"/>
          <w:szCs w:val="24"/>
        </w:rPr>
      </w:pPr>
      <w:r>
        <w:rPr>
          <w:rFonts w:hint="eastAsia" w:ascii="宋体" w:hAnsi="宋体" w:eastAsia="宋体" w:cs="宋体"/>
          <w:b/>
          <w:bCs/>
          <w:spacing w:val="-2"/>
          <w:sz w:val="24"/>
          <w:szCs w:val="24"/>
        </w:rPr>
        <w:t xml:space="preserve">Description: </w:t>
      </w:r>
      <w:r>
        <w:rPr>
          <w:rFonts w:hint="eastAsia" w:ascii="宋体" w:hAnsi="宋体" w:eastAsia="宋体" w:cs="宋体"/>
          <w:spacing w:val="-2"/>
          <w:sz w:val="24"/>
          <w:szCs w:val="24"/>
        </w:rPr>
        <w:t>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2143"/>
        <w:gridCol w:w="4714"/>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5" w:type="dxa"/>
            <w:vAlign w:val="center"/>
          </w:tcPr>
          <w:p w14:paraId="6EF5B4F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43" w:type="dxa"/>
            <w:vAlign w:val="center"/>
          </w:tcPr>
          <w:p w14:paraId="57E9192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3232A5B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714" w:type="dxa"/>
            <w:vAlign w:val="center"/>
          </w:tcPr>
          <w:p w14:paraId="4FCAF36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8"/>
                <w:sz w:val="24"/>
                <w:szCs w:val="24"/>
                <w:lang w:val="en-US" w:eastAsia="zh-CN"/>
              </w:rPr>
            </w:pPr>
            <w:r>
              <w:rPr>
                <w:rFonts w:hint="eastAsia" w:ascii="宋体" w:hAnsi="宋体" w:eastAsia="宋体" w:cs="宋体"/>
                <w:b/>
                <w:bCs/>
                <w:spacing w:val="-8"/>
                <w:sz w:val="24"/>
                <w:szCs w:val="24"/>
                <w:lang w:val="en-US" w:eastAsia="zh-CN"/>
              </w:rPr>
              <w:t>用途</w:t>
            </w:r>
          </w:p>
          <w:p w14:paraId="465C978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5" w:type="dxa"/>
            <w:vAlign w:val="center"/>
          </w:tcPr>
          <w:p w14:paraId="5EB57AB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14"/>
                <w:sz w:val="24"/>
                <w:szCs w:val="24"/>
                <w:lang w:val="en-US" w:eastAsia="zh-CN"/>
              </w:rPr>
            </w:pPr>
            <w:r>
              <w:rPr>
                <w:rFonts w:hint="eastAsia" w:ascii="宋体" w:hAnsi="宋体" w:eastAsia="宋体" w:cs="宋体"/>
                <w:spacing w:val="-14"/>
                <w:sz w:val="24"/>
                <w:szCs w:val="24"/>
                <w:lang w:val="en-US" w:eastAsia="zh-CN"/>
              </w:rPr>
              <w:t>二氧化钛</w:t>
            </w:r>
          </w:p>
          <w:p w14:paraId="22CDF77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14"/>
                <w:sz w:val="24"/>
                <w:szCs w:val="24"/>
                <w:lang w:val="en-US" w:eastAsia="zh-CN"/>
              </w:rPr>
            </w:pPr>
            <w:r>
              <w:rPr>
                <w:rFonts w:hint="eastAsia" w:ascii="宋体" w:hAnsi="宋体" w:eastAsia="宋体" w:cs="宋体"/>
                <w:spacing w:val="-4"/>
                <w:sz w:val="24"/>
                <w:szCs w:val="24"/>
                <w:lang w:val="en-US" w:eastAsia="zh-CN"/>
              </w:rPr>
              <w:t>Titanium Dioxide</w:t>
            </w:r>
          </w:p>
        </w:tc>
        <w:tc>
          <w:tcPr>
            <w:tcW w:w="2143" w:type="dxa"/>
            <w:vAlign w:val="center"/>
          </w:tcPr>
          <w:p w14:paraId="044AF56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14"/>
                <w:sz w:val="24"/>
                <w:szCs w:val="24"/>
                <w:lang w:val="en-US" w:eastAsia="zh-CN"/>
              </w:rPr>
            </w:pPr>
            <w:r>
              <w:rPr>
                <w:rFonts w:hint="eastAsia" w:ascii="宋体" w:hAnsi="宋体" w:eastAsia="宋体" w:cs="宋体"/>
                <w:spacing w:val="-4"/>
                <w:sz w:val="24"/>
                <w:szCs w:val="24"/>
                <w:lang w:val="en-US" w:eastAsia="zh-CN"/>
              </w:rPr>
              <w:t>99.9</w:t>
            </w:r>
            <w:bookmarkStart w:id="0" w:name="_GoBack"/>
            <w:bookmarkEnd w:id="0"/>
            <w:r>
              <w:rPr>
                <w:rFonts w:hint="eastAsia" w:ascii="宋体" w:hAnsi="宋体" w:eastAsia="宋体" w:cs="宋体"/>
                <w:spacing w:val="-4"/>
                <w:sz w:val="24"/>
                <w:szCs w:val="24"/>
              </w:rPr>
              <w:t>%</w:t>
            </w:r>
          </w:p>
        </w:tc>
        <w:tc>
          <w:tcPr>
            <w:tcW w:w="4714" w:type="dxa"/>
            <w:vAlign w:val="center"/>
          </w:tcPr>
          <w:p w14:paraId="55FF569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化妆品，抗菌，催化，功能纤维，涂料，油漆，电池等</w:t>
            </w:r>
          </w:p>
          <w:p w14:paraId="26D6696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eastAsia="zh-CN"/>
              </w:rPr>
              <w:t>Cosmetic,antibacterial, catalytic,functional fibers,coatings,paints, batteries, etc</w:t>
            </w:r>
          </w:p>
        </w:tc>
      </w:tr>
    </w:tbl>
    <w:p w14:paraId="4EA1281E">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7B930D7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44CC5B0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bCs/>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4F771B9A">
      <w:pPr>
        <w:numPr>
          <w:ilvl w:val="0"/>
          <w:numId w:val="0"/>
        </w:numPr>
        <w:ind w:left="239" w:leftChars="114" w:firstLine="0" w:firstLineChars="0"/>
        <w:jc w:val="left"/>
        <w:rPr>
          <w:rFonts w:hint="default" w:ascii="Helvetica" w:hAnsi="Helvetica" w:eastAsia="Helvetica" w:cs="Helvetica"/>
          <w:i w:val="0"/>
          <w:iCs w:val="0"/>
          <w:caps w:val="0"/>
          <w:color w:val="333333"/>
          <w:spacing w:val="0"/>
          <w:sz w:val="21"/>
          <w:szCs w:val="21"/>
          <w:shd w:val="clear" w:fill="FFFFFF"/>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ascii="宋体" w:hAnsi="宋体" w:eastAsia="宋体" w:cs="宋体"/>
          <w:color w:val="auto"/>
          <w:sz w:val="24"/>
          <w:szCs w:val="24"/>
        </w:rPr>
      </w:pPr>
      <w:r>
        <w:rPr>
          <w:rFonts w:ascii="宋体" w:hAnsi="宋体" w:eastAsia="宋体" w:cs="宋体"/>
          <w:b/>
          <w:bCs/>
          <w:sz w:val="24"/>
          <w:szCs w:val="24"/>
        </w:rPr>
        <w:t>皮肤接触：</w:t>
      </w:r>
      <w:r>
        <w:rPr>
          <w:rFonts w:hint="eastAsia" w:ascii="宋体" w:hAnsi="宋体" w:eastAsia="宋体" w:cs="宋体"/>
          <w:i w:val="0"/>
          <w:iCs w:val="0"/>
          <w:caps w:val="0"/>
          <w:color w:val="auto"/>
          <w:spacing w:val="0"/>
          <w:sz w:val="24"/>
          <w:szCs w:val="24"/>
          <w:shd w:val="clear" w:fill="FFFFFF"/>
        </w:rPr>
        <w:t>用肥皂和大量的水冲洗。</w:t>
      </w:r>
    </w:p>
    <w:p w14:paraId="1E4D3C3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Skin contact:</w:t>
      </w:r>
      <w:r>
        <w:rPr>
          <w:rFonts w:hint="eastAsia" w:ascii="宋体" w:hAnsi="宋体" w:eastAsia="宋体" w:cs="宋体"/>
          <w:color w:val="auto"/>
          <w:sz w:val="24"/>
          <w:szCs w:val="24"/>
        </w:rPr>
        <w:t xml:space="preserve"> Wash with soap and plenty of water.</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眼睛接触：</w:t>
      </w:r>
      <w:r>
        <w:rPr>
          <w:rFonts w:hint="eastAsia" w:ascii="宋体" w:hAnsi="宋体" w:eastAsia="宋体" w:cs="宋体"/>
          <w:i w:val="0"/>
          <w:iCs w:val="0"/>
          <w:caps w:val="0"/>
          <w:color w:val="auto"/>
          <w:spacing w:val="0"/>
          <w:sz w:val="24"/>
          <w:szCs w:val="24"/>
          <w:shd w:val="clear" w:fill="FFFFFF"/>
        </w:rPr>
        <w:t>用水冲洗眼睛作为预防措施。</w:t>
      </w:r>
    </w:p>
    <w:p w14:paraId="363BBA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Eye contact:</w:t>
      </w:r>
      <w:r>
        <w:rPr>
          <w:rFonts w:hint="eastAsia" w:ascii="宋体" w:hAnsi="宋体" w:eastAsia="宋体" w:cs="宋体"/>
          <w:color w:val="auto"/>
          <w:sz w:val="24"/>
          <w:szCs w:val="24"/>
        </w:rPr>
        <w:t xml:space="preserve"> Flush eyes with water as a precaution.</w:t>
      </w:r>
    </w:p>
    <w:p w14:paraId="25963F4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Helvetica" w:hAnsi="Helvetica" w:eastAsia="Helvetica" w:cs="Helvetica"/>
          <w:i w:val="0"/>
          <w:iCs w:val="0"/>
          <w:caps w:val="0"/>
          <w:color w:val="auto"/>
          <w:spacing w:val="0"/>
          <w:sz w:val="21"/>
          <w:szCs w:val="21"/>
          <w:shd w:val="clear" w:fill="FFFFFF"/>
        </w:rPr>
      </w:pPr>
      <w:r>
        <w:rPr>
          <w:rFonts w:ascii="宋体" w:hAnsi="宋体" w:eastAsia="宋体" w:cs="宋体"/>
          <w:b/>
          <w:bCs/>
          <w:color w:val="auto"/>
          <w:sz w:val="24"/>
          <w:szCs w:val="24"/>
        </w:rPr>
        <w:t>吸入：</w:t>
      </w:r>
      <w:r>
        <w:rPr>
          <w:rFonts w:hint="eastAsia" w:ascii="宋体" w:hAnsi="宋体" w:eastAsia="宋体" w:cs="宋体"/>
          <w:i w:val="0"/>
          <w:iCs w:val="0"/>
          <w:caps w:val="0"/>
          <w:color w:val="auto"/>
          <w:spacing w:val="0"/>
          <w:sz w:val="24"/>
          <w:szCs w:val="24"/>
          <w:shd w:val="clear" w:fill="FFFFFF"/>
        </w:rPr>
        <w:t>如果吸入,请将患者移到新鲜空气处。 如果停止了呼吸,给于人工呼吸。</w:t>
      </w:r>
    </w:p>
    <w:p w14:paraId="6AF3C98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 xml:space="preserve">Inhalation: </w:t>
      </w:r>
      <w:r>
        <w:rPr>
          <w:rFonts w:hint="eastAsia" w:ascii="宋体" w:hAnsi="宋体" w:eastAsia="宋体" w:cs="宋体"/>
          <w:color w:val="auto"/>
          <w:sz w:val="24"/>
          <w:szCs w:val="24"/>
        </w:rPr>
        <w:t>If inhaled, move victim to fresh air. If not breathing, give artificial respiration.</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ascii="宋体" w:hAnsi="宋体" w:eastAsia="宋体" w:cs="宋体"/>
          <w:b/>
          <w:bCs/>
          <w:color w:val="auto"/>
          <w:sz w:val="24"/>
          <w:szCs w:val="24"/>
        </w:rPr>
        <w:t>食入：</w:t>
      </w:r>
      <w:r>
        <w:rPr>
          <w:rFonts w:hint="eastAsia" w:ascii="宋体" w:hAnsi="宋体" w:eastAsia="宋体" w:cs="宋体"/>
          <w:i w:val="0"/>
          <w:iCs w:val="0"/>
          <w:caps w:val="0"/>
          <w:color w:val="auto"/>
          <w:spacing w:val="0"/>
          <w:sz w:val="24"/>
          <w:szCs w:val="24"/>
          <w:shd w:val="clear" w:fill="FFFFFF"/>
        </w:rPr>
        <w:t>切勿给失去知觉者从嘴里喂食任何东西。 用水漱口。</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Ingestion:</w:t>
      </w:r>
      <w:r>
        <w:rPr>
          <w:rFonts w:hint="default" w:ascii="宋体" w:hAnsi="宋体" w:eastAsia="宋体" w:cs="宋体"/>
          <w:color w:val="auto"/>
          <w:sz w:val="24"/>
          <w:szCs w:val="24"/>
          <w:lang w:val="en-US" w:eastAsia="zh-CN"/>
        </w:rPr>
        <w:t xml:space="preserve"> Never give anything by mouth to an unconscious person. Rinse mouth with water.</w:t>
      </w:r>
    </w:p>
    <w:p w14:paraId="1DE39B55">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303BBD3C">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color w:val="auto"/>
          <w:sz w:val="30"/>
          <w:szCs w:val="30"/>
          <w:lang w:val="en-US" w:eastAsia="zh-CN"/>
        </w:rPr>
      </w:pPr>
      <w:r>
        <w:rPr>
          <w:rFonts w:hint="eastAsia" w:ascii="Times New Roman" w:hAnsi="Times New Roman" w:cs="宋体"/>
          <w:b/>
          <w:color w:val="auto"/>
          <w:sz w:val="30"/>
          <w:szCs w:val="30"/>
          <w:lang w:val="en-US" w:eastAsia="zh-CN"/>
        </w:rPr>
        <w:t>5.</w:t>
      </w:r>
      <w:r>
        <w:rPr>
          <w:rFonts w:hint="eastAsia" w:ascii="Times New Roman" w:hAnsi="Times New Roman" w:eastAsia="宋体" w:cs="宋体"/>
          <w:b/>
          <w:color w:val="auto"/>
          <w:sz w:val="30"/>
          <w:szCs w:val="30"/>
          <w:lang w:val="en-US" w:eastAsia="zh-CN"/>
        </w:rPr>
        <w:t>消防措施</w:t>
      </w:r>
    </w:p>
    <w:p w14:paraId="63AA829D">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color w:val="auto"/>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color w:val="auto"/>
          <w:sz w:val="30"/>
          <w:szCs w:val="30"/>
          <w:lang w:val="en-US" w:eastAsia="zh-CN"/>
        </w:rPr>
        <w:t>Fire-fighting measures</w:t>
      </w:r>
    </w:p>
    <w:p w14:paraId="390D6E86">
      <w:pPr>
        <w:pStyle w:val="9"/>
        <w:spacing w:before="71" w:line="221" w:lineRule="auto"/>
        <w:ind w:left="239" w:leftChars="114" w:firstLine="0" w:firstLineChars="0"/>
        <w:outlineLvl w:val="0"/>
        <w:rPr>
          <w:rFonts w:ascii="宋体" w:hAnsi="宋体" w:eastAsia="宋体" w:cs="宋体"/>
          <w:color w:val="auto"/>
          <w:sz w:val="24"/>
          <w:szCs w:val="24"/>
        </w:rPr>
      </w:pPr>
    </w:p>
    <w:p w14:paraId="71753986">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b/>
          <w:bCs/>
          <w:color w:val="auto"/>
          <w:sz w:val="24"/>
          <w:szCs w:val="24"/>
        </w:rPr>
      </w:pPr>
      <w:r>
        <w:rPr>
          <w:rFonts w:ascii="宋体" w:hAnsi="宋体" w:eastAsia="宋体" w:cs="宋体"/>
          <w:b/>
          <w:bCs/>
          <w:color w:val="auto"/>
          <w:sz w:val="24"/>
          <w:szCs w:val="24"/>
        </w:rPr>
        <w:t>危险特性：</w:t>
      </w:r>
      <w:r>
        <w:rPr>
          <w:rFonts w:ascii="宋体" w:hAnsi="宋体" w:eastAsia="宋体" w:cs="宋体"/>
          <w:color w:val="auto"/>
          <w:sz w:val="24"/>
          <w:szCs w:val="24"/>
        </w:rPr>
        <w:t>钛/氧化钛</w:t>
      </w:r>
      <w:r>
        <w:rPr>
          <w:rFonts w:hint="eastAsia" w:cs="宋体"/>
          <w:color w:val="auto"/>
          <w:sz w:val="24"/>
          <w:szCs w:val="24"/>
          <w:lang w:eastAsia="zh-CN"/>
        </w:rPr>
        <w:t>，</w:t>
      </w:r>
      <w:r>
        <w:rPr>
          <w:rFonts w:ascii="宋体" w:hAnsi="宋体" w:eastAsia="宋体" w:cs="宋体"/>
          <w:color w:val="auto"/>
          <w:sz w:val="24"/>
          <w:szCs w:val="24"/>
        </w:rPr>
        <w:t>不可燃。</w:t>
      </w:r>
    </w:p>
    <w:p w14:paraId="71008C18">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 xml:space="preserve">Hazardous characteristics: </w:t>
      </w:r>
      <w:r>
        <w:rPr>
          <w:rFonts w:hint="eastAsia" w:ascii="宋体" w:hAnsi="宋体" w:eastAsia="宋体" w:cs="宋体"/>
          <w:color w:val="auto"/>
          <w:sz w:val="24"/>
          <w:szCs w:val="24"/>
        </w:rPr>
        <w:t>Titanium/titanium oxide, non-flammable.</w:t>
      </w:r>
    </w:p>
    <w:p w14:paraId="05016895">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ascii="宋体" w:hAnsi="宋体" w:eastAsia="宋体" w:cs="宋体"/>
          <w:b/>
          <w:bCs/>
          <w:color w:val="auto"/>
          <w:sz w:val="24"/>
          <w:szCs w:val="24"/>
        </w:rPr>
        <w:t>灭火方法及灭火剂：</w:t>
      </w:r>
      <w:r>
        <w:rPr>
          <w:rFonts w:hint="eastAsia" w:ascii="宋体" w:hAnsi="宋体" w:eastAsia="宋体" w:cs="宋体"/>
          <w:color w:val="auto"/>
          <w:sz w:val="24"/>
          <w:szCs w:val="24"/>
        </w:rPr>
        <w:t>用水雾,耐醇泡沫,干粉或二氧化碳灭火。</w:t>
      </w:r>
    </w:p>
    <w:p w14:paraId="1CF0753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bCs/>
          <w:color w:val="auto"/>
          <w:sz w:val="24"/>
          <w:szCs w:val="24"/>
          <w:lang w:eastAsia="zh-CN"/>
        </w:rPr>
      </w:pPr>
      <w:r>
        <w:rPr>
          <w:rFonts w:hint="eastAsia" w:cs="宋体"/>
          <w:b/>
          <w:bCs/>
          <w:color w:val="auto"/>
          <w:sz w:val="24"/>
          <w:szCs w:val="24"/>
          <w:lang w:eastAsia="zh-CN"/>
        </w:rPr>
        <w:t>Fire extinguishing methods and extinguishing agents:</w:t>
      </w:r>
      <w:r>
        <w:rPr>
          <w:rFonts w:hint="eastAsia" w:cs="宋体"/>
          <w:b w:val="0"/>
          <w:bCs w:val="0"/>
          <w:color w:val="auto"/>
          <w:sz w:val="24"/>
          <w:szCs w:val="24"/>
          <w:lang w:eastAsia="zh-CN"/>
        </w:rPr>
        <w:t xml:space="preserve"> Use water spray, alcohol-resistant foam, dry chemical or carbon dioxide to extinguish fires.</w:t>
      </w:r>
    </w:p>
    <w:p w14:paraId="220112D2">
      <w:pPr>
        <w:pStyle w:val="9"/>
        <w:spacing w:before="71" w:line="221" w:lineRule="auto"/>
        <w:ind w:left="239" w:leftChars="114" w:firstLine="0" w:firstLineChars="0"/>
        <w:outlineLvl w:val="0"/>
        <w:rPr>
          <w:rFonts w:hint="eastAsia" w:cs="宋体"/>
          <w:color w:val="auto"/>
          <w:sz w:val="24"/>
          <w:szCs w:val="24"/>
          <w:lang w:eastAsia="zh-CN"/>
        </w:rPr>
      </w:pPr>
    </w:p>
    <w:p w14:paraId="4C6C72FD">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color w:val="auto"/>
          <w:sz w:val="30"/>
          <w:szCs w:val="30"/>
          <w:lang w:val="en-US" w:eastAsia="zh-CN"/>
        </w:rPr>
      </w:pPr>
      <w:r>
        <w:rPr>
          <w:rFonts w:hint="eastAsia" w:ascii="Times New Roman" w:hAnsi="Times New Roman" w:cs="宋体"/>
          <w:b/>
          <w:color w:val="auto"/>
          <w:sz w:val="30"/>
          <w:szCs w:val="30"/>
          <w:lang w:val="en-US" w:eastAsia="zh-CN"/>
        </w:rPr>
        <w:t>6.</w:t>
      </w:r>
      <w:r>
        <w:rPr>
          <w:rFonts w:hint="eastAsia" w:ascii="Times New Roman" w:hAnsi="Times New Roman" w:eastAsia="宋体" w:cs="宋体"/>
          <w:b/>
          <w:color w:val="auto"/>
          <w:sz w:val="30"/>
          <w:szCs w:val="30"/>
          <w:lang w:val="en-US" w:eastAsia="zh-CN"/>
        </w:rPr>
        <w:t>泄露应急处理</w:t>
      </w:r>
    </w:p>
    <w:p w14:paraId="014230A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color w:val="auto"/>
        </w:rPr>
      </w:pPr>
      <w:r>
        <w:rPr>
          <w:rFonts w:hint="eastAsia" w:ascii="Times New Roman" w:hAnsi="Times New Roman" w:eastAsia="宋体" w:cs="宋体"/>
          <w:b/>
          <w:color w:val="auto"/>
          <w:sz w:val="30"/>
          <w:szCs w:val="30"/>
          <w:lang w:val="en-US" w:eastAsia="zh-CN"/>
        </w:rPr>
        <w:t>Leakage emergency treatment</w:t>
      </w:r>
    </w:p>
    <w:p w14:paraId="76AEB3EF">
      <w:pPr>
        <w:pStyle w:val="9"/>
        <w:spacing w:before="71" w:line="221" w:lineRule="auto"/>
        <w:ind w:left="239" w:leftChars="114" w:firstLine="0" w:firstLineChars="0"/>
        <w:outlineLvl w:val="0"/>
        <w:rPr>
          <w:rFonts w:ascii="宋体" w:hAnsi="宋体" w:eastAsia="宋体" w:cs="宋体"/>
          <w:color w:val="auto"/>
          <w:sz w:val="24"/>
          <w:szCs w:val="24"/>
        </w:rPr>
      </w:pPr>
    </w:p>
    <w:p w14:paraId="69EFCC88">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人员的预防,防护设备和紧急处理程序</w:t>
      </w:r>
      <w:r>
        <w:rPr>
          <w:rFonts w:hint="eastAsia" w:cs="宋体"/>
          <w:b/>
          <w:bCs/>
          <w:color w:val="auto"/>
          <w:sz w:val="24"/>
          <w:szCs w:val="24"/>
          <w:lang w:eastAsia="zh-CN"/>
        </w:rPr>
        <w:t>：</w:t>
      </w:r>
      <w:r>
        <w:rPr>
          <w:rFonts w:hint="eastAsia" w:ascii="宋体" w:hAnsi="宋体" w:eastAsia="宋体" w:cs="宋体"/>
          <w:color w:val="auto"/>
          <w:sz w:val="24"/>
          <w:szCs w:val="24"/>
        </w:rPr>
        <w:t>防止粉尘的生成。 防止吸入蒸汽、气雾或气体。</w:t>
      </w:r>
    </w:p>
    <w:p w14:paraId="6E4D009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Personal precautions, protective equipment and emergency procedures:</w:t>
      </w:r>
      <w:r>
        <w:rPr>
          <w:rFonts w:hint="eastAsia" w:ascii="宋体" w:hAnsi="宋体" w:eastAsia="宋体" w:cs="宋体"/>
          <w:color w:val="auto"/>
          <w:sz w:val="24"/>
          <w:szCs w:val="24"/>
        </w:rPr>
        <w:t xml:space="preserve"> Prevent dust formation. Prevent inhalation of vapors, mists or gases.</w:t>
      </w:r>
    </w:p>
    <w:p w14:paraId="20320F38">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环境预防措施</w:t>
      </w:r>
      <w:r>
        <w:rPr>
          <w:rFonts w:hint="eastAsia" w:cs="宋体"/>
          <w:b/>
          <w:bCs/>
          <w:color w:val="auto"/>
          <w:sz w:val="24"/>
          <w:szCs w:val="24"/>
          <w:lang w:val="en-US" w:eastAsia="zh-CN"/>
        </w:rPr>
        <w:t>:</w:t>
      </w:r>
      <w:r>
        <w:rPr>
          <w:rFonts w:hint="eastAsia" w:ascii="宋体" w:hAnsi="宋体" w:eastAsia="宋体" w:cs="宋体"/>
          <w:color w:val="auto"/>
          <w:sz w:val="24"/>
          <w:szCs w:val="24"/>
        </w:rPr>
        <w:t>不要让产物进入下水道。</w:t>
      </w:r>
    </w:p>
    <w:p w14:paraId="29F1EFE0">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Environmental precautions:</w:t>
      </w:r>
      <w:r>
        <w:rPr>
          <w:rFonts w:hint="eastAsia" w:ascii="宋体" w:hAnsi="宋体" w:eastAsia="宋体" w:cs="宋体"/>
          <w:color w:val="auto"/>
          <w:sz w:val="24"/>
          <w:szCs w:val="24"/>
        </w:rPr>
        <w:t xml:space="preserve"> Do not allow product to enter drains.</w:t>
      </w:r>
    </w:p>
    <w:p w14:paraId="39174344">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抑制和清除溢出物的方法和材料</w:t>
      </w:r>
      <w:r>
        <w:rPr>
          <w:rFonts w:hint="eastAsia" w:cs="宋体"/>
          <w:b/>
          <w:bCs/>
          <w:color w:val="auto"/>
          <w:sz w:val="24"/>
          <w:szCs w:val="24"/>
          <w:lang w:val="en-US" w:eastAsia="zh-CN"/>
        </w:rPr>
        <w:t>:</w:t>
      </w:r>
      <w:r>
        <w:rPr>
          <w:rFonts w:hint="eastAsia" w:ascii="宋体" w:hAnsi="宋体" w:eastAsia="宋体" w:cs="宋体"/>
          <w:color w:val="auto"/>
          <w:sz w:val="24"/>
          <w:szCs w:val="24"/>
        </w:rPr>
        <w:t>扫掉和铲掉。 存放在合适的封闭的处理容器内。</w:t>
      </w:r>
    </w:p>
    <w:p w14:paraId="46A7F73C">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color w:val="auto"/>
          <w:sz w:val="24"/>
          <w:szCs w:val="24"/>
        </w:rPr>
        <w:t>Methods and materials for containment and clea</w:t>
      </w:r>
      <w:r>
        <w:rPr>
          <w:rFonts w:hint="eastAsia" w:ascii="宋体" w:hAnsi="宋体" w:eastAsia="宋体" w:cs="宋体"/>
          <w:b/>
          <w:bCs/>
          <w:sz w:val="24"/>
          <w:szCs w:val="24"/>
        </w:rPr>
        <w:t>nup:</w:t>
      </w:r>
      <w:r>
        <w:rPr>
          <w:rFonts w:hint="eastAsia" w:ascii="宋体" w:hAnsi="宋体" w:eastAsia="宋体" w:cs="宋体"/>
          <w:sz w:val="24"/>
          <w:szCs w:val="24"/>
        </w:rPr>
        <w:t xml:space="preserve"> Sweep up and shovel. Store in suitable closed disposal containers.</w:t>
      </w:r>
    </w:p>
    <w:p w14:paraId="37C6DCAD">
      <w:pPr>
        <w:pStyle w:val="9"/>
        <w:spacing w:before="71" w:line="221" w:lineRule="auto"/>
        <w:ind w:left="239" w:leftChars="114" w:firstLine="0" w:firstLineChars="0"/>
        <w:outlineLvl w:val="0"/>
        <w:rPr>
          <w:rFonts w:hint="default" w:ascii="Helvetica" w:hAnsi="Helvetica" w:eastAsia="Helvetica" w:cs="Helvetica"/>
          <w:i w:val="0"/>
          <w:iCs w:val="0"/>
          <w:caps w:val="0"/>
          <w:color w:val="333333"/>
          <w:spacing w:val="0"/>
          <w:sz w:val="21"/>
          <w:szCs w:val="21"/>
          <w:shd w:val="clear" w:fill="FFFFFF"/>
          <w:lang w:val="en-US" w:eastAsia="zh-CN"/>
        </w:rPr>
      </w:pPr>
    </w:p>
    <w:p w14:paraId="2E57977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9"/>
        <w:numPr>
          <w:ilvl w:val="0"/>
          <w:numId w:val="0"/>
        </w:numPr>
        <w:spacing w:before="71" w:line="221" w:lineRule="auto"/>
        <w:ind w:left="239" w:leftChars="114" w:firstLine="0" w:firstLineChars="0"/>
        <w:outlineLvl w:val="0"/>
        <w:rPr>
          <w:rFonts w:ascii="宋体" w:hAnsi="宋体" w:eastAsia="宋体" w:cs="宋体"/>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rPr>
      </w:pPr>
      <w:r>
        <w:rPr>
          <w:rFonts w:ascii="宋体" w:hAnsi="宋体" w:eastAsia="宋体" w:cs="宋体"/>
          <w:b/>
          <w:bCs/>
          <w:sz w:val="24"/>
          <w:szCs w:val="24"/>
        </w:rPr>
        <w:t>安全操作的注意事项</w:t>
      </w:r>
      <w:r>
        <w:rPr>
          <w:rFonts w:hint="eastAsia" w:ascii="宋体" w:hAnsi="宋体" w:eastAsia="宋体" w:cs="宋体"/>
          <w:b/>
          <w:bCs/>
          <w:sz w:val="24"/>
          <w:szCs w:val="24"/>
          <w:lang w:val="en-US" w:eastAsia="zh-CN"/>
        </w:rPr>
        <w:t>:</w:t>
      </w:r>
      <w:r>
        <w:rPr>
          <w:rFonts w:hint="eastAsia" w:ascii="宋体" w:hAnsi="宋体" w:eastAsia="宋体" w:cs="宋体"/>
          <w:i w:val="0"/>
          <w:iCs w:val="0"/>
          <w:caps w:val="0"/>
          <w:color w:val="333333"/>
          <w:spacing w:val="0"/>
          <w:sz w:val="24"/>
          <w:szCs w:val="24"/>
          <w:shd w:val="clear" w:fill="FFFFFF"/>
        </w:rPr>
        <w:t>在有粉尘生成的地方,提供合适的排风设备。</w:t>
      </w:r>
    </w:p>
    <w:p w14:paraId="7D4242C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Precautions for safe handling:</w:t>
      </w:r>
      <w:r>
        <w:rPr>
          <w:rFonts w:hint="eastAsia" w:ascii="宋体" w:hAnsi="宋体" w:eastAsia="宋体" w:cs="宋体"/>
          <w:i w:val="0"/>
          <w:iCs w:val="0"/>
          <w:caps w:val="0"/>
          <w:color w:val="333333"/>
          <w:spacing w:val="0"/>
          <w:sz w:val="24"/>
          <w:szCs w:val="24"/>
          <w:shd w:val="clear" w:fill="FFFFFF"/>
          <w:lang w:val="en-US" w:eastAsia="zh-CN"/>
        </w:rPr>
        <w:t xml:space="preserve"> Provide suitable exhaust equipment where dust is generated.</w:t>
      </w:r>
    </w:p>
    <w:p w14:paraId="747E6B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rPr>
      </w:pPr>
      <w:r>
        <w:rPr>
          <w:rFonts w:hint="default" w:ascii="宋体" w:hAnsi="宋体" w:eastAsia="宋体" w:cs="宋体"/>
          <w:b/>
          <w:bCs/>
          <w:sz w:val="24"/>
          <w:szCs w:val="24"/>
        </w:rPr>
        <w:t>安全储存的条件,包括任何不兼容性</w:t>
      </w:r>
      <w:r>
        <w:rPr>
          <w:rFonts w:hint="eastAsia" w:ascii="宋体" w:hAnsi="宋体" w:eastAsia="宋体" w:cs="宋体"/>
          <w:b/>
          <w:bCs/>
          <w:sz w:val="24"/>
          <w:szCs w:val="24"/>
          <w:lang w:val="en-US" w:eastAsia="zh-CN"/>
        </w:rPr>
        <w:t>:</w:t>
      </w:r>
      <w:r>
        <w:rPr>
          <w:rFonts w:hint="default" w:ascii="宋体" w:hAnsi="宋体" w:eastAsia="宋体" w:cs="宋体"/>
          <w:sz w:val="24"/>
          <w:szCs w:val="24"/>
        </w:rPr>
        <w:t>贮存在阴凉处</w:t>
      </w:r>
      <w:r>
        <w:rPr>
          <w:rFonts w:hint="eastAsia" w:ascii="宋体" w:hAnsi="宋体" w:eastAsia="宋体" w:cs="宋体"/>
          <w:sz w:val="24"/>
          <w:szCs w:val="24"/>
          <w:lang w:val="en-US" w:eastAsia="zh-CN"/>
        </w:rPr>
        <w:t>.</w:t>
      </w:r>
      <w:r>
        <w:rPr>
          <w:rFonts w:hint="default" w:ascii="宋体" w:hAnsi="宋体" w:eastAsia="宋体" w:cs="宋体"/>
          <w:sz w:val="24"/>
          <w:szCs w:val="24"/>
        </w:rPr>
        <w:t>容器保持紧闭，储存在干燥通风处。</w:t>
      </w:r>
    </w:p>
    <w:p w14:paraId="33183E8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Conditions for safe storage, including any incompatibilities:</w:t>
      </w:r>
      <w:r>
        <w:rPr>
          <w:rFonts w:hint="default" w:ascii="宋体" w:hAnsi="宋体" w:eastAsia="宋体" w:cs="宋体"/>
          <w:sz w:val="24"/>
          <w:szCs w:val="24"/>
          <w:lang w:val="en-US" w:eastAsia="zh-CN"/>
        </w:rPr>
        <w:t xml:space="preserve"> Store in a cool place. Keep the container tightly closed in a dry and ventilated place.</w:t>
      </w:r>
    </w:p>
    <w:p w14:paraId="474FA8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493231D4">
      <w:pPr>
        <w:numPr>
          <w:ilvl w:val="0"/>
          <w:numId w:val="0"/>
        </w:numPr>
        <w:ind w:left="239" w:leftChars="114" w:firstLine="0" w:firstLineChars="0"/>
        <w:jc w:val="left"/>
        <w:rPr>
          <w:rFonts w:hint="eastAsia" w:ascii="宋体" w:hAnsi="宋体" w:eastAsia="宋体" w:cs="宋体"/>
          <w:color w:val="auto"/>
          <w:sz w:val="24"/>
          <w:szCs w:val="24"/>
        </w:rPr>
      </w:pPr>
      <w:r>
        <w:rPr>
          <w:rFonts w:hint="eastAsia" w:ascii="宋体" w:hAnsi="宋体" w:eastAsia="宋体" w:cs="宋体"/>
          <w:b/>
          <w:bCs/>
          <w:sz w:val="24"/>
          <w:szCs w:val="24"/>
        </w:rPr>
        <w:t>控制参数</w:t>
      </w:r>
      <w:r>
        <w:rPr>
          <w:rFonts w:hint="eastAsia" w:ascii="宋体" w:hAnsi="宋体" w:eastAsia="宋体" w:cs="宋体"/>
          <w:b/>
          <w:bCs/>
          <w:sz w:val="24"/>
          <w:szCs w:val="24"/>
          <w:lang w:val="en-US" w:eastAsia="zh-CN"/>
        </w:rPr>
        <w:t>:</w:t>
      </w:r>
      <w:r>
        <w:rPr>
          <w:rFonts w:hint="eastAsia" w:ascii="宋体" w:hAnsi="宋体" w:eastAsia="宋体" w:cs="宋体"/>
          <w:color w:val="auto"/>
          <w:sz w:val="24"/>
          <w:szCs w:val="24"/>
        </w:rPr>
        <w:t>最高容许浓度没有已知的国家规定的暴露极限。</w:t>
      </w:r>
    </w:p>
    <w:p w14:paraId="55BA06DE">
      <w:pPr>
        <w:numPr>
          <w:ilvl w:val="0"/>
          <w:numId w:val="0"/>
        </w:numPr>
        <w:ind w:left="239" w:leftChars="114" w:firstLine="0" w:firstLineChars="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Control parameters:</w:t>
      </w:r>
      <w:r>
        <w:rPr>
          <w:rFonts w:hint="eastAsia" w:ascii="宋体" w:hAnsi="宋体" w:eastAsia="宋体" w:cs="宋体"/>
          <w:color w:val="auto"/>
          <w:sz w:val="24"/>
          <w:szCs w:val="24"/>
        </w:rPr>
        <w:t xml:space="preserve"> Maximum permitted concentration There are no known national exposure limits.</w:t>
      </w:r>
    </w:p>
    <w:p w14:paraId="3106E1A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工程控制：</w:t>
      </w:r>
      <w:r>
        <w:rPr>
          <w:rFonts w:hint="eastAsia" w:ascii="宋体" w:hAnsi="宋体" w:eastAsia="宋体" w:cs="宋体"/>
          <w:color w:val="auto"/>
          <w:sz w:val="24"/>
          <w:szCs w:val="24"/>
        </w:rPr>
        <w:t>常规的工业卫生操作。</w:t>
      </w:r>
    </w:p>
    <w:p w14:paraId="1690101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Engineering control:</w:t>
      </w:r>
      <w:r>
        <w:rPr>
          <w:rFonts w:hint="eastAsia" w:ascii="宋体" w:hAnsi="宋体" w:eastAsia="宋体" w:cs="宋体"/>
          <w:color w:val="auto"/>
          <w:sz w:val="24"/>
          <w:szCs w:val="24"/>
        </w:rPr>
        <w:t>General industrial hygiene practices.</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呼吸系统防护：</w:t>
      </w:r>
      <w:r>
        <w:rPr>
          <w:rFonts w:ascii="宋体" w:hAnsi="宋体" w:eastAsia="宋体" w:cs="宋体"/>
          <w:color w:val="auto"/>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Respiratory system protection:</w:t>
      </w:r>
      <w:r>
        <w:rPr>
          <w:rFonts w:hint="eastAsia" w:ascii="宋体" w:hAnsi="宋体" w:eastAsia="宋体" w:cs="宋体"/>
          <w:color w:val="auto"/>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眼睛防护：</w:t>
      </w:r>
      <w:r>
        <w:rPr>
          <w:rFonts w:ascii="宋体" w:hAnsi="宋体" w:eastAsia="宋体" w:cs="宋体"/>
          <w:color w:val="auto"/>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Eye protection:</w:t>
      </w:r>
      <w:r>
        <w:rPr>
          <w:rFonts w:hint="eastAsia" w:ascii="宋体" w:hAnsi="宋体" w:eastAsia="宋体" w:cs="宋体"/>
          <w:color w:val="auto"/>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身体防护：</w:t>
      </w:r>
      <w:r>
        <w:rPr>
          <w:rFonts w:ascii="宋体" w:hAnsi="宋体" w:eastAsia="宋体" w:cs="宋体"/>
          <w:color w:val="auto"/>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Body protection:</w:t>
      </w:r>
      <w:r>
        <w:rPr>
          <w:rFonts w:hint="eastAsia" w:ascii="宋体" w:hAnsi="宋体" w:eastAsia="宋体" w:cs="宋体"/>
          <w:color w:val="auto"/>
          <w:sz w:val="24"/>
          <w:szCs w:val="24"/>
        </w:rPr>
        <w:t xml:space="preserve"> Protective clothing.</w:t>
      </w:r>
      <w:r>
        <w:rPr>
          <w:rFonts w:ascii="宋体" w:hAnsi="宋体" w:eastAsia="宋体" w:cs="宋体"/>
          <w:color w:val="auto"/>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手防护：</w:t>
      </w:r>
      <w:r>
        <w:rPr>
          <w:rFonts w:ascii="宋体" w:hAnsi="宋体" w:eastAsia="宋体" w:cs="宋体"/>
          <w:color w:val="auto"/>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Hand protection:</w:t>
      </w:r>
      <w:r>
        <w:rPr>
          <w:rFonts w:hint="eastAsia" w:ascii="宋体" w:hAnsi="宋体" w:eastAsia="宋体" w:cs="宋体"/>
          <w:color w:val="auto"/>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其他防护：</w:t>
      </w:r>
      <w:r>
        <w:rPr>
          <w:rFonts w:ascii="宋体" w:hAnsi="宋体" w:eastAsia="宋体" w:cs="宋体"/>
          <w:color w:val="auto"/>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Other protection:</w:t>
      </w:r>
      <w:r>
        <w:rPr>
          <w:rFonts w:hint="default" w:ascii="宋体" w:hAnsi="宋体" w:eastAsia="宋体" w:cs="宋体"/>
          <w:color w:val="auto"/>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color w:val="auto"/>
          <w:sz w:val="24"/>
          <w:szCs w:val="24"/>
          <w:lang w:val="en-US" w:eastAsia="zh-CN"/>
        </w:rPr>
      </w:pPr>
    </w:p>
    <w:tbl>
      <w:tblPr>
        <w:tblStyle w:val="7"/>
        <w:tblW w:w="9327"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5881"/>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9"/>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颜色</w:t>
            </w:r>
            <w:r>
              <w:rPr>
                <w:rFonts w:hint="eastAsia"/>
                <w:b/>
                <w:bCs/>
                <w:color w:val="auto"/>
                <w:spacing w:val="-5"/>
              </w:rPr>
              <w:t>Color</w:t>
            </w:r>
          </w:p>
        </w:tc>
        <w:tc>
          <w:tcPr>
            <w:tcW w:w="5881" w:type="dxa"/>
            <w:vAlign w:val="center"/>
          </w:tcPr>
          <w:p w14:paraId="795DAF3A">
            <w:pPr>
              <w:pStyle w:val="9"/>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color w:val="auto"/>
                <w:kern w:val="2"/>
                <w:sz w:val="24"/>
                <w:szCs w:val="24"/>
                <w:lang w:val="en-US" w:eastAsia="zh-CN" w:bidi="ar-SA"/>
              </w:rPr>
            </w:pPr>
            <w:r>
              <w:rPr>
                <w:color w:val="auto"/>
                <w:spacing w:val="-23"/>
              </w:rPr>
              <w:t>白色</w:t>
            </w:r>
            <w:r>
              <w:rPr>
                <w:rFonts w:hint="eastAsia"/>
                <w:color w:val="auto"/>
                <w:spacing w:val="-23"/>
              </w:rPr>
              <w:t>White</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9"/>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状态</w:t>
            </w:r>
            <w:r>
              <w:rPr>
                <w:rFonts w:hint="eastAsia"/>
                <w:b/>
                <w:bCs/>
                <w:color w:val="auto"/>
                <w:spacing w:val="-5"/>
              </w:rPr>
              <w:t>State</w:t>
            </w:r>
          </w:p>
        </w:tc>
        <w:tc>
          <w:tcPr>
            <w:tcW w:w="5881" w:type="dxa"/>
            <w:vAlign w:val="center"/>
          </w:tcPr>
          <w:p w14:paraId="6CBA3718">
            <w:pPr>
              <w:pStyle w:val="9"/>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color w:val="auto"/>
                <w:kern w:val="2"/>
                <w:sz w:val="24"/>
                <w:szCs w:val="24"/>
                <w:lang w:val="en-US" w:eastAsia="zh-CN" w:bidi="ar-SA"/>
              </w:rPr>
            </w:pPr>
            <w:r>
              <w:rPr>
                <w:color w:val="auto"/>
                <w:spacing w:val="-5"/>
              </w:rPr>
              <w:t>粉末</w:t>
            </w:r>
            <w:r>
              <w:rPr>
                <w:rFonts w:hint="eastAsia"/>
                <w:color w:val="auto"/>
                <w:spacing w:val="-5"/>
              </w:rPr>
              <w:t>Powder</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b/>
                <w:bCs/>
                <w:color w:val="auto"/>
                <w:spacing w:val="-6"/>
              </w:rPr>
              <w:t>气味</w:t>
            </w:r>
            <w:r>
              <w:rPr>
                <w:rFonts w:hint="eastAsia"/>
                <w:b/>
                <w:bCs/>
                <w:color w:val="auto"/>
                <w:spacing w:val="-6"/>
              </w:rPr>
              <w:t>Odor</w:t>
            </w:r>
          </w:p>
        </w:tc>
        <w:tc>
          <w:tcPr>
            <w:tcW w:w="5881" w:type="dxa"/>
            <w:vAlign w:val="center"/>
          </w:tcPr>
          <w:p w14:paraId="5EB97CE4">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24"/>
                <w:szCs w:val="24"/>
                <w:lang w:val="en-US" w:eastAsia="zh-CN" w:bidi="ar-SA"/>
              </w:rPr>
            </w:pPr>
            <w:r>
              <w:rPr>
                <w:color w:val="auto"/>
                <w:spacing w:val="-6"/>
              </w:rPr>
              <w:t>无味</w:t>
            </w:r>
            <w:r>
              <w:rPr>
                <w:rFonts w:hint="eastAsia"/>
                <w:color w:val="auto"/>
                <w:spacing w:val="-6"/>
              </w:rPr>
              <w:t>Odorless</w:t>
            </w:r>
          </w:p>
        </w:tc>
      </w:tr>
      <w:tr w14:paraId="0D73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446" w:type="dxa"/>
            <w:vAlign w:val="center"/>
          </w:tcPr>
          <w:p w14:paraId="59323006">
            <w:pPr>
              <w:pStyle w:val="9"/>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eastAsia"/>
                <w:b/>
                <w:bCs/>
                <w:color w:val="auto"/>
                <w:spacing w:val="-6"/>
                <w:lang w:val="en-US" w:eastAsia="zh-CN"/>
              </w:rPr>
            </w:pPr>
            <w:r>
              <w:rPr>
                <w:rFonts w:hint="eastAsia"/>
                <w:b/>
                <w:bCs/>
                <w:color w:val="auto"/>
                <w:spacing w:val="-6"/>
                <w:lang w:val="en-US" w:eastAsia="zh-CN"/>
              </w:rPr>
              <w:t>溶解度</w:t>
            </w:r>
          </w:p>
          <w:p w14:paraId="38061840">
            <w:pPr>
              <w:pStyle w:val="9"/>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default" w:ascii="宋体" w:hAnsi="宋体" w:eastAsia="宋体" w:cs="宋体"/>
                <w:b/>
                <w:bCs/>
                <w:kern w:val="2"/>
                <w:sz w:val="24"/>
                <w:szCs w:val="24"/>
                <w:lang w:val="en-US" w:eastAsia="zh-CN" w:bidi="ar-SA"/>
              </w:rPr>
            </w:pPr>
            <w:r>
              <w:rPr>
                <w:rFonts w:hint="eastAsia"/>
                <w:b/>
                <w:bCs/>
                <w:color w:val="auto"/>
                <w:spacing w:val="-6"/>
                <w:lang w:val="en-US" w:eastAsia="zh-CN"/>
              </w:rPr>
              <w:t>Solubility</w:t>
            </w:r>
          </w:p>
        </w:tc>
        <w:tc>
          <w:tcPr>
            <w:tcW w:w="5881" w:type="dxa"/>
            <w:vAlign w:val="center"/>
          </w:tcPr>
          <w:p w14:paraId="48339C4E">
            <w:pPr>
              <w:pStyle w:val="9"/>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eastAsia"/>
                <w:color w:val="auto"/>
                <w:spacing w:val="-6"/>
                <w:lang w:val="en-US" w:eastAsia="zh-CN"/>
              </w:rPr>
            </w:pPr>
            <w:r>
              <w:rPr>
                <w:rFonts w:hint="eastAsia"/>
                <w:color w:val="auto"/>
                <w:spacing w:val="-6"/>
                <w:lang w:val="en-US" w:eastAsia="zh-CN"/>
              </w:rPr>
              <w:t>不溶于水</w:t>
            </w:r>
          </w:p>
          <w:p w14:paraId="563ADE8B">
            <w:pPr>
              <w:pStyle w:val="9"/>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default" w:ascii="宋体" w:hAnsi="宋体" w:eastAsia="宋体" w:cs="宋体"/>
                <w:kern w:val="2"/>
                <w:sz w:val="24"/>
                <w:szCs w:val="24"/>
                <w:lang w:val="en-US" w:eastAsia="zh-CN" w:bidi="ar-SA"/>
              </w:rPr>
            </w:pPr>
            <w:r>
              <w:rPr>
                <w:rFonts w:hint="default"/>
                <w:color w:val="auto"/>
                <w:spacing w:val="-6"/>
                <w:lang w:val="en-US" w:eastAsia="zh-CN"/>
              </w:rPr>
              <w:t>Insoluble in water</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46" w:type="dxa"/>
            <w:vAlign w:val="center"/>
          </w:tcPr>
          <w:p w14:paraId="477FA606">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color w:val="auto"/>
                <w:lang w:val="en-US" w:eastAsia="zh-CN"/>
              </w:rPr>
            </w:pPr>
            <w:r>
              <w:rPr>
                <w:rFonts w:hint="eastAsia"/>
                <w:b/>
                <w:bCs/>
                <w:color w:val="auto"/>
                <w:lang w:val="en-US" w:eastAsia="zh-CN"/>
              </w:rPr>
              <w:t>相对密度</w:t>
            </w:r>
          </w:p>
          <w:p w14:paraId="0FD210F8">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rFonts w:hint="eastAsia"/>
                <w:b/>
                <w:bCs/>
                <w:color w:val="auto"/>
                <w:lang w:val="en-US" w:eastAsia="zh-CN"/>
              </w:rPr>
              <w:t>Relative density</w:t>
            </w:r>
          </w:p>
        </w:tc>
        <w:tc>
          <w:tcPr>
            <w:tcW w:w="5881" w:type="dxa"/>
            <w:vAlign w:val="center"/>
          </w:tcPr>
          <w:p w14:paraId="722F14DE">
            <w:pPr>
              <w:pStyle w:val="9"/>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12"/>
                <w:szCs w:val="12"/>
                <w:lang w:val="en-US" w:eastAsia="zh-CN" w:bidi="ar-SA"/>
              </w:rPr>
            </w:pPr>
            <w:r>
              <w:rPr>
                <w:rFonts w:hint="eastAsia" w:ascii="宋体" w:hAnsi="宋体" w:eastAsia="宋体" w:cs="宋体"/>
                <w:i w:val="0"/>
                <w:iCs w:val="0"/>
                <w:caps w:val="0"/>
                <w:color w:val="auto"/>
                <w:spacing w:val="0"/>
                <w:sz w:val="24"/>
                <w:szCs w:val="24"/>
                <w:shd w:val="clear" w:fill="FFFFFF"/>
              </w:rPr>
              <w:t>4.</w:t>
            </w:r>
            <w:r>
              <w:rPr>
                <w:rFonts w:hint="eastAsia" w:cs="宋体"/>
                <w:i w:val="0"/>
                <w:iCs w:val="0"/>
                <w:caps w:val="0"/>
                <w:color w:val="auto"/>
                <w:spacing w:val="0"/>
                <w:sz w:val="24"/>
                <w:szCs w:val="24"/>
                <w:shd w:val="clear" w:fill="FFFFFF"/>
                <w:lang w:val="en-US" w:eastAsia="zh-CN"/>
              </w:rPr>
              <w:t>26g/cm3</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sz w:val="24"/>
                <w:szCs w:val="24"/>
                <w:vertAlign w:val="baseline"/>
                <w:lang w:val="en-US" w:eastAsia="zh-CN"/>
              </w:rPr>
            </w:pPr>
            <w:r>
              <w:rPr>
                <w:b/>
                <w:bCs/>
                <w:color w:val="auto"/>
                <w:spacing w:val="-6"/>
              </w:rPr>
              <w:t>熔点</w:t>
            </w:r>
            <w:r>
              <w:rPr>
                <w:rFonts w:hint="eastAsia"/>
                <w:b/>
                <w:bCs/>
                <w:color w:val="auto"/>
                <w:spacing w:val="-6"/>
              </w:rPr>
              <w:t>Melting point</w:t>
            </w:r>
          </w:p>
        </w:tc>
        <w:tc>
          <w:tcPr>
            <w:tcW w:w="5881" w:type="dxa"/>
            <w:vAlign w:val="center"/>
          </w:tcPr>
          <w:p w14:paraId="5CABDE9A">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kern w:val="2"/>
                <w:sz w:val="24"/>
                <w:szCs w:val="24"/>
                <w:lang w:val="en-US" w:eastAsia="zh-CN" w:bidi="ar-SA"/>
              </w:rPr>
            </w:pPr>
            <w:r>
              <w:rPr>
                <w:rFonts w:hint="eastAsia"/>
                <w:color w:val="auto"/>
                <w:spacing w:val="-6"/>
                <w:lang w:val="en-US" w:eastAsia="zh-CN"/>
              </w:rPr>
              <w:t>1855</w:t>
            </w:r>
            <w:r>
              <w:rPr>
                <w:color w:val="auto"/>
                <w:spacing w:val="-6"/>
              </w:rPr>
              <w:t>℃</w:t>
            </w:r>
          </w:p>
        </w:tc>
      </w:tr>
    </w:tbl>
    <w:p w14:paraId="722077BA">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24470326">
      <w:pPr>
        <w:numPr>
          <w:ilvl w:val="0"/>
          <w:numId w:val="0"/>
        </w:numPr>
        <w:ind w:leftChars="114"/>
        <w:jc w:val="left"/>
        <w:rPr>
          <w:rFonts w:ascii="宋体" w:hAnsi="宋体" w:eastAsia="宋体" w:cs="宋体"/>
          <w:sz w:val="24"/>
          <w:szCs w:val="24"/>
        </w:rPr>
      </w:pPr>
    </w:p>
    <w:p w14:paraId="1C5B0D8E">
      <w:pPr>
        <w:numPr>
          <w:ilvl w:val="0"/>
          <w:numId w:val="0"/>
        </w:numPr>
        <w:ind w:leftChars="114"/>
        <w:jc w:val="left"/>
        <w:rPr>
          <w:rFonts w:hint="eastAsia" w:ascii="宋体" w:hAnsi="宋体" w:eastAsia="宋体" w:cs="宋体"/>
          <w:kern w:val="2"/>
          <w:sz w:val="24"/>
          <w:szCs w:val="24"/>
          <w:lang w:val="en-US" w:eastAsia="en-US" w:bidi="ar-SA"/>
        </w:rPr>
      </w:pPr>
      <w:r>
        <w:rPr>
          <w:rFonts w:hint="eastAsia" w:ascii="宋体" w:hAnsi="宋体" w:eastAsia="宋体" w:cs="宋体"/>
          <w:b/>
          <w:bCs/>
          <w:spacing w:val="-11"/>
          <w:kern w:val="2"/>
          <w:sz w:val="24"/>
          <w:szCs w:val="24"/>
          <w:lang w:val="en-US" w:eastAsia="en-US" w:bidi="ar-SA"/>
        </w:rPr>
        <w:t>不兼容的材料</w:t>
      </w:r>
      <w:r>
        <w:rPr>
          <w:rFonts w:hint="eastAsia" w:ascii="宋体" w:hAnsi="宋体" w:eastAsia="宋体" w:cs="宋体"/>
          <w:b/>
          <w:bCs/>
          <w:spacing w:val="-11"/>
          <w:kern w:val="2"/>
          <w:sz w:val="24"/>
          <w:szCs w:val="24"/>
          <w:lang w:val="en-US" w:eastAsia="zh-CN" w:bidi="ar-SA"/>
        </w:rPr>
        <w:t>:</w:t>
      </w:r>
      <w:r>
        <w:rPr>
          <w:rFonts w:hint="eastAsia" w:ascii="宋体" w:hAnsi="宋体" w:eastAsia="宋体" w:cs="宋体"/>
          <w:kern w:val="2"/>
          <w:sz w:val="24"/>
          <w:szCs w:val="24"/>
          <w:lang w:val="en-US" w:eastAsia="en-US" w:bidi="ar-SA"/>
        </w:rPr>
        <w:t>强酸</w:t>
      </w:r>
    </w:p>
    <w:p w14:paraId="4E6552AA">
      <w:pPr>
        <w:numPr>
          <w:ilvl w:val="0"/>
          <w:numId w:val="0"/>
        </w:numPr>
        <w:ind w:leftChars="114"/>
        <w:jc w:val="left"/>
        <w:rPr>
          <w:rFonts w:hint="eastAsia" w:ascii="宋体" w:hAnsi="宋体" w:eastAsia="宋体" w:cs="宋体"/>
          <w:kern w:val="2"/>
          <w:sz w:val="24"/>
          <w:szCs w:val="24"/>
          <w:lang w:val="en-US" w:eastAsia="en-US" w:bidi="ar-SA"/>
        </w:rPr>
      </w:pPr>
      <w:r>
        <w:rPr>
          <w:rFonts w:hint="eastAsia" w:ascii="宋体" w:hAnsi="宋体" w:eastAsia="宋体" w:cs="宋体"/>
          <w:b/>
          <w:bCs/>
          <w:kern w:val="2"/>
          <w:sz w:val="24"/>
          <w:szCs w:val="24"/>
          <w:lang w:val="en-US" w:eastAsia="en-US" w:bidi="ar-SA"/>
        </w:rPr>
        <w:t>Incompatible Materials:</w:t>
      </w:r>
      <w:r>
        <w:rPr>
          <w:rFonts w:hint="eastAsia" w:ascii="宋体" w:hAnsi="宋体" w:eastAsia="宋体" w:cs="宋体"/>
          <w:kern w:val="2"/>
          <w:sz w:val="24"/>
          <w:szCs w:val="24"/>
          <w:lang w:val="en-US" w:eastAsia="en-US" w:bidi="ar-SA"/>
        </w:rPr>
        <w:t xml:space="preserve"> Strong Acids</w:t>
      </w:r>
    </w:p>
    <w:p w14:paraId="246475E5">
      <w:pPr>
        <w:numPr>
          <w:ilvl w:val="0"/>
          <w:numId w:val="0"/>
        </w:numPr>
        <w:ind w:leftChars="114"/>
        <w:jc w:val="left"/>
        <w:rPr>
          <w:rFonts w:hint="default" w:ascii="Helvetica" w:hAnsi="Helvetica" w:eastAsia="Helvetica" w:cs="Helvetica"/>
          <w:i w:val="0"/>
          <w:iCs w:val="0"/>
          <w:caps w:val="0"/>
          <w:color w:val="333333"/>
          <w:spacing w:val="0"/>
          <w:sz w:val="21"/>
          <w:szCs w:val="21"/>
          <w:shd w:val="clear" w:fill="FFFFFF"/>
          <w:lang w:val="en-US" w:eastAsia="zh-CN"/>
        </w:rPr>
      </w:pP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Toxicology Information</w:t>
      </w:r>
    </w:p>
    <w:p w14:paraId="28023166">
      <w:pPr>
        <w:pStyle w:val="9"/>
        <w:spacing w:before="78" w:line="239" w:lineRule="auto"/>
        <w:ind w:left="463"/>
        <w:rPr>
          <w:rFonts w:hint="eastAsia"/>
          <w:spacing w:val="-26"/>
          <w:w w:val="97"/>
          <w:lang w:val="en-US" w:eastAsia="zh-CN"/>
        </w:rPr>
      </w:pPr>
    </w:p>
    <w:p w14:paraId="5275D16B">
      <w:pPr>
        <w:pStyle w:val="9"/>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eastAsia"/>
          <w:b w:val="0"/>
          <w:bCs w:val="0"/>
          <w:spacing w:val="-11"/>
          <w:lang w:val="en-US" w:eastAsia="zh-CN"/>
        </w:rPr>
      </w:pPr>
      <w:r>
        <w:rPr>
          <w:rFonts w:hint="eastAsia"/>
          <w:b/>
          <w:bCs/>
          <w:spacing w:val="-11"/>
          <w:lang w:val="en-US" w:eastAsia="zh-CN"/>
        </w:rPr>
        <w:t>急性毒性</w:t>
      </w:r>
      <w:r>
        <w:rPr>
          <w:b/>
          <w:bCs/>
          <w:spacing w:val="-11"/>
        </w:rPr>
        <w:t>：</w:t>
      </w:r>
      <w:r>
        <w:rPr>
          <w:rFonts w:hint="eastAsia"/>
          <w:b w:val="0"/>
          <w:bCs w:val="0"/>
          <w:spacing w:val="-11"/>
          <w:lang w:val="en-US" w:eastAsia="zh-CN"/>
        </w:rPr>
        <w:t>无资料</w:t>
      </w:r>
    </w:p>
    <w:p w14:paraId="3A96B5A3">
      <w:pPr>
        <w:pStyle w:val="9"/>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default"/>
          <w:b w:val="0"/>
          <w:bCs w:val="0"/>
          <w:spacing w:val="-11"/>
          <w:lang w:val="en-US" w:eastAsia="zh-CN"/>
        </w:rPr>
      </w:pPr>
      <w:r>
        <w:rPr>
          <w:rFonts w:hint="default"/>
          <w:b/>
          <w:bCs/>
          <w:spacing w:val="-11"/>
          <w:lang w:val="en-US" w:eastAsia="zh-CN"/>
        </w:rPr>
        <w:t xml:space="preserve">Acute toxicity: </w:t>
      </w:r>
      <w:r>
        <w:rPr>
          <w:rFonts w:hint="default"/>
          <w:b w:val="0"/>
          <w:bCs w:val="0"/>
          <w:spacing w:val="-11"/>
          <w:lang w:val="en-US" w:eastAsia="zh-CN"/>
        </w:rPr>
        <w:t>No data available</w:t>
      </w:r>
    </w:p>
    <w:p w14:paraId="140E4B79">
      <w:pPr>
        <w:numPr>
          <w:ilvl w:val="0"/>
          <w:numId w:val="0"/>
        </w:numPr>
        <w:ind w:leftChars="114"/>
        <w:jc w:val="left"/>
        <w:rPr>
          <w:rFonts w:hint="default" w:ascii="宋体" w:hAnsi="宋体" w:eastAsia="宋体" w:cs="宋体"/>
          <w:sz w:val="24"/>
          <w:szCs w:val="24"/>
          <w:lang w:val="en-US" w:eastAsia="zh-CN"/>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kern w:val="2"/>
          <w:sz w:val="30"/>
          <w:szCs w:val="30"/>
          <w:lang w:val="en-US" w:eastAsia="zh-CN" w:bidi="ar-SA"/>
        </w:rPr>
        <w:t>12.</w:t>
      </w:r>
      <w:r>
        <w:rPr>
          <w:rFonts w:hint="eastAsia" w:ascii="Times New Roman" w:hAnsi="Times New Roman" w:eastAsia="宋体" w:cs="宋体"/>
          <w:b/>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Ecological information</w:t>
      </w:r>
    </w:p>
    <w:p w14:paraId="20DA0744">
      <w:pPr>
        <w:pStyle w:val="9"/>
        <w:spacing w:before="78" w:line="239" w:lineRule="auto"/>
        <w:ind w:left="463"/>
        <w:rPr>
          <w:spacing w:val="-11"/>
        </w:rPr>
      </w:pPr>
    </w:p>
    <w:p w14:paraId="7BAD3E29">
      <w:pPr>
        <w:pStyle w:val="9"/>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eastAsia"/>
          <w:spacing w:val="-11"/>
          <w:lang w:val="en-US" w:eastAsia="zh-CN"/>
        </w:rPr>
      </w:pPr>
      <w:r>
        <w:rPr>
          <w:b/>
          <w:bCs/>
          <w:spacing w:val="-11"/>
        </w:rPr>
        <w:t>生态有害性：</w:t>
      </w:r>
      <w:r>
        <w:rPr>
          <w:rFonts w:hint="eastAsia"/>
          <w:spacing w:val="-11"/>
          <w:lang w:val="en-US" w:eastAsia="zh-CN"/>
        </w:rPr>
        <w:t>无资料</w:t>
      </w:r>
    </w:p>
    <w:p w14:paraId="1BF10C2A">
      <w:pPr>
        <w:pStyle w:val="9"/>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hint="eastAsia"/>
          <w:spacing w:val="-11"/>
          <w:lang w:val="en-US" w:eastAsia="zh-CN"/>
        </w:rPr>
      </w:pPr>
      <w:r>
        <w:rPr>
          <w:rFonts w:hint="eastAsia"/>
          <w:b/>
          <w:bCs/>
          <w:spacing w:val="-11"/>
          <w:lang w:val="en-US" w:eastAsia="zh-CN"/>
        </w:rPr>
        <w:t xml:space="preserve">Ecological harm: </w:t>
      </w:r>
      <w:r>
        <w:rPr>
          <w:rFonts w:hint="default"/>
          <w:b w:val="0"/>
          <w:bCs w:val="0"/>
          <w:spacing w:val="-11"/>
          <w:lang w:val="en-US" w:eastAsia="zh-CN"/>
        </w:rPr>
        <w:t>No data available</w:t>
      </w:r>
    </w:p>
    <w:p w14:paraId="552F960D">
      <w:pPr>
        <w:numPr>
          <w:ilvl w:val="0"/>
          <w:numId w:val="0"/>
        </w:numPr>
        <w:ind w:leftChars="114"/>
        <w:jc w:val="left"/>
        <w:rPr>
          <w:rFonts w:hint="default" w:ascii="宋体" w:hAnsi="宋体" w:eastAsia="宋体" w:cs="宋体"/>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9"/>
        <w:spacing w:before="79" w:line="239" w:lineRule="auto"/>
        <w:ind w:left="463"/>
        <w:rPr>
          <w:spacing w:val="-10"/>
        </w:rPr>
      </w:pPr>
    </w:p>
    <w:p w14:paraId="5E4AF06F">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b/>
          <w:bCs/>
          <w:spacing w:val="-10"/>
        </w:rPr>
        <w:t>废弃处置方法：</w:t>
      </w:r>
      <w:r>
        <w:rPr>
          <w:rFonts w:hint="eastAsia" w:ascii="宋体" w:hAnsi="宋体" w:eastAsia="宋体" w:cs="宋体"/>
          <w:i w:val="0"/>
          <w:iCs w:val="0"/>
          <w:caps w:val="0"/>
          <w:color w:val="333333"/>
          <w:spacing w:val="0"/>
          <w:sz w:val="24"/>
          <w:szCs w:val="24"/>
          <w:shd w:val="clear" w:fill="FFFFFF"/>
        </w:rPr>
        <w:t>将剩余的和未回收的溶液交给处理公司。污染了的包装物</w:t>
      </w:r>
      <w:r>
        <w:rPr>
          <w:rFonts w:hint="eastAsia" w:ascii="宋体" w:hAnsi="宋体" w:eastAsia="宋体" w:cs="宋体"/>
          <w:i w:val="0"/>
          <w:iCs w:val="0"/>
          <w:caps w:val="0"/>
          <w:color w:val="333333"/>
          <w:spacing w:val="0"/>
          <w:sz w:val="24"/>
          <w:szCs w:val="24"/>
          <w:shd w:val="clear" w:fill="FFFFFF"/>
          <w:lang w:eastAsia="zh-CN"/>
        </w:rPr>
        <w:t>，</w:t>
      </w:r>
      <w:r>
        <w:rPr>
          <w:rFonts w:hint="eastAsia" w:ascii="宋体" w:hAnsi="宋体" w:eastAsia="宋体" w:cs="宋体"/>
          <w:i w:val="0"/>
          <w:iCs w:val="0"/>
          <w:caps w:val="0"/>
          <w:color w:val="333333"/>
          <w:spacing w:val="0"/>
          <w:sz w:val="24"/>
          <w:szCs w:val="24"/>
          <w:shd w:val="clear" w:fill="FFFFFF"/>
        </w:rPr>
        <w:t>作为未用过的产品弃置。</w:t>
      </w:r>
    </w:p>
    <w:p w14:paraId="330388B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Waste disposal method:</w:t>
      </w:r>
      <w:r>
        <w:rPr>
          <w:rFonts w:hint="eastAsia" w:ascii="宋体" w:hAnsi="宋体" w:eastAsia="宋体" w:cs="宋体"/>
          <w:sz w:val="24"/>
          <w:szCs w:val="24"/>
        </w:rPr>
        <w:t xml:space="preserve"> Hand over any remaining and unrecovered solution to a disposal company. Discard any contaminated packaging as unused product.</w:t>
      </w:r>
    </w:p>
    <w:p w14:paraId="6D854663">
      <w:pPr>
        <w:pStyle w:val="9"/>
        <w:spacing w:before="79" w:line="239" w:lineRule="auto"/>
        <w:ind w:left="463"/>
        <w:rPr>
          <w:rFonts w:hint="eastAsia" w:ascii="宋体" w:hAnsi="宋体" w:eastAsia="宋体" w:cs="宋体"/>
          <w:sz w:val="24"/>
          <w:szCs w:val="24"/>
        </w:rPr>
      </w:pPr>
    </w:p>
    <w:p w14:paraId="51DA19C4">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14.运输信息</w:t>
      </w:r>
    </w:p>
    <w:p w14:paraId="2A4605CF">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Transport information</w:t>
      </w:r>
    </w:p>
    <w:p w14:paraId="70D65C38">
      <w:pPr>
        <w:pStyle w:val="9"/>
        <w:spacing w:before="79" w:line="239" w:lineRule="auto"/>
        <w:ind w:left="463"/>
        <w:rPr>
          <w:rFonts w:ascii="宋体" w:hAnsi="宋体" w:eastAsia="宋体" w:cs="宋体"/>
          <w:sz w:val="24"/>
          <w:szCs w:val="24"/>
        </w:rPr>
      </w:pPr>
    </w:p>
    <w:p w14:paraId="03EE8C9C">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eastAsia="zh-CN"/>
        </w:rPr>
      </w:pPr>
      <w:r>
        <w:rPr>
          <w:rFonts w:ascii="宋体" w:hAnsi="宋体" w:eastAsia="宋体" w:cs="宋体"/>
          <w:b/>
          <w:bCs/>
          <w:sz w:val="24"/>
          <w:szCs w:val="24"/>
        </w:rPr>
        <w:t>运输品名：</w:t>
      </w:r>
      <w:r>
        <w:rPr>
          <w:rFonts w:hint="eastAsia" w:cs="宋体"/>
          <w:sz w:val="24"/>
          <w:szCs w:val="24"/>
          <w:lang w:val="en-US" w:eastAsia="zh-CN"/>
        </w:rPr>
        <w:t>二氧化钛</w:t>
      </w:r>
    </w:p>
    <w:p w14:paraId="1176295B">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eastAsia="宋体" w:asciiTheme="minorEastAsia" w:hAnsiTheme="minorEastAsia" w:cstheme="minorEastAsia"/>
          <w:b w:val="0"/>
          <w:bCs/>
          <w:sz w:val="24"/>
          <w:szCs w:val="24"/>
          <w:lang w:val="en-US" w:eastAsia="zh-CN"/>
        </w:rPr>
      </w:pPr>
      <w:r>
        <w:rPr>
          <w:rFonts w:hint="eastAsia" w:ascii="宋体" w:hAnsi="宋体" w:eastAsia="宋体" w:cs="宋体"/>
          <w:b/>
          <w:bCs/>
          <w:sz w:val="24"/>
          <w:szCs w:val="24"/>
        </w:rPr>
        <w:t>Transport name:</w:t>
      </w:r>
      <w:r>
        <w:rPr>
          <w:rFonts w:hint="eastAsia" w:ascii="宋体" w:hAnsi="宋体" w:eastAsia="宋体" w:cs="宋体"/>
          <w:sz w:val="24"/>
          <w:szCs w:val="24"/>
        </w:rPr>
        <w:t xml:space="preserve"> </w:t>
      </w:r>
      <w:r>
        <w:rPr>
          <w:rFonts w:hint="eastAsia" w:asciiTheme="minorEastAsia" w:hAnsiTheme="minorEastAsia" w:cstheme="minorEastAsia"/>
          <w:b w:val="0"/>
          <w:bCs/>
          <w:sz w:val="24"/>
          <w:szCs w:val="24"/>
          <w:lang w:val="en-US" w:eastAsia="zh-CN"/>
        </w:rPr>
        <w:t>Titanium Dioxide</w:t>
      </w:r>
    </w:p>
    <w:p w14:paraId="1436959C">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ascii="宋体" w:hAnsi="宋体" w:eastAsia="宋体" w:cs="宋体"/>
          <w:b/>
          <w:bCs/>
          <w:sz w:val="24"/>
          <w:szCs w:val="24"/>
        </w:rPr>
        <w:t>危险品分类：</w:t>
      </w:r>
      <w:r>
        <w:rPr>
          <w:rFonts w:hint="eastAsia" w:cs="宋体"/>
          <w:b w:val="0"/>
          <w:bCs w:val="0"/>
          <w:sz w:val="24"/>
          <w:szCs w:val="24"/>
          <w:lang w:val="en-US" w:eastAsia="zh-CN"/>
        </w:rPr>
        <w:t>普货</w:t>
      </w:r>
    </w:p>
    <w:p w14:paraId="5A81ABF2">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default" w:cs="宋体"/>
          <w:sz w:val="24"/>
          <w:szCs w:val="24"/>
          <w:lang w:val="en-US" w:eastAsia="zh-CN"/>
        </w:rPr>
      </w:pPr>
      <w:r>
        <w:rPr>
          <w:rFonts w:hint="eastAsia" w:ascii="宋体" w:hAnsi="宋体" w:eastAsia="宋体" w:cs="宋体"/>
          <w:b/>
          <w:bCs/>
          <w:sz w:val="24"/>
          <w:szCs w:val="24"/>
        </w:rPr>
        <w:t>Dangerous goods classification:</w:t>
      </w:r>
      <w:r>
        <w:rPr>
          <w:rFonts w:hint="eastAsia" w:ascii="宋体" w:hAnsi="宋体" w:eastAsia="宋体" w:cs="宋体"/>
          <w:sz w:val="24"/>
          <w:szCs w:val="24"/>
        </w:rPr>
        <w:t xml:space="preserve"> General goods.</w:t>
      </w:r>
    </w:p>
    <w:p w14:paraId="4619ECE2">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ascii="宋体" w:hAnsi="宋体" w:eastAsia="宋体" w:cs="宋体"/>
          <w:b/>
          <w:bCs/>
          <w:sz w:val="24"/>
          <w:szCs w:val="24"/>
        </w:rPr>
        <w:t>运输注意事项：</w:t>
      </w:r>
      <w:r>
        <w:rPr>
          <w:rFonts w:ascii="宋体" w:hAnsi="宋体" w:eastAsia="宋体" w:cs="宋体"/>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sz w:val="24"/>
          <w:szCs w:val="24"/>
          <w:lang w:eastAsia="zh-CN"/>
        </w:rPr>
        <w:t>。</w:t>
      </w:r>
    </w:p>
    <w:p w14:paraId="75422E9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hint="eastAsia" w:cs="宋体"/>
          <w:b/>
          <w:bCs/>
          <w:sz w:val="24"/>
          <w:szCs w:val="24"/>
          <w:lang w:eastAsia="zh-CN"/>
        </w:rPr>
        <w:t xml:space="preserve">Transport precautions: </w:t>
      </w:r>
      <w:r>
        <w:rPr>
          <w:rFonts w:hint="eastAsia" w:cs="宋体"/>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9"/>
        <w:spacing w:before="79" w:line="239" w:lineRule="auto"/>
        <w:ind w:left="463"/>
        <w:rPr>
          <w:rFonts w:hint="eastAsia" w:cs="宋体"/>
          <w:sz w:val="24"/>
          <w:szCs w:val="24"/>
          <w:lang w:eastAsia="zh-CN"/>
        </w:rPr>
      </w:pPr>
    </w:p>
    <w:p w14:paraId="3EF69E80">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15.法规信息</w:t>
      </w:r>
    </w:p>
    <w:p w14:paraId="15152084">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Regulatory Information</w:t>
      </w:r>
    </w:p>
    <w:p w14:paraId="142B8CA7">
      <w:pPr>
        <w:pStyle w:val="9"/>
        <w:spacing w:before="79" w:line="239" w:lineRule="auto"/>
        <w:ind w:left="463"/>
        <w:rPr>
          <w:rFonts w:ascii="宋体" w:hAnsi="宋体" w:eastAsia="宋体" w:cs="宋体"/>
          <w:sz w:val="24"/>
          <w:szCs w:val="24"/>
        </w:rPr>
      </w:pPr>
    </w:p>
    <w:p w14:paraId="285B5BC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cs="宋体"/>
          <w:b/>
          <w:bCs/>
          <w:sz w:val="24"/>
          <w:szCs w:val="24"/>
          <w:lang w:val="en-US" w:eastAsia="zh-CN"/>
        </w:rPr>
        <w:t>适用法规</w:t>
      </w:r>
      <w:r>
        <w:rPr>
          <w:rFonts w:ascii="宋体" w:hAnsi="宋体" w:eastAsia="宋体" w:cs="宋体"/>
          <w:b/>
          <w:bCs/>
          <w:sz w:val="24"/>
          <w:szCs w:val="24"/>
        </w:rPr>
        <w:t>：</w:t>
      </w:r>
      <w:r>
        <w:rPr>
          <w:rFonts w:hint="eastAsia" w:ascii="宋体" w:hAnsi="宋体" w:eastAsia="宋体" w:cs="宋体"/>
          <w:sz w:val="24"/>
          <w:szCs w:val="24"/>
        </w:rPr>
        <w:t>中华人民共和国安全生产法</w:t>
      </w:r>
      <w:r>
        <w:rPr>
          <w:rFonts w:hint="eastAsia" w:cs="宋体"/>
          <w:sz w:val="24"/>
          <w:szCs w:val="24"/>
          <w:lang w:val="en-US" w:eastAsia="zh-CN"/>
        </w:rPr>
        <w:t>;</w:t>
      </w:r>
    </w:p>
    <w:p w14:paraId="616F91B1">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中华人民共和国职业病防治法</w:t>
      </w:r>
      <w:r>
        <w:rPr>
          <w:rFonts w:hint="eastAsia" w:cs="宋体"/>
          <w:sz w:val="24"/>
          <w:szCs w:val="24"/>
          <w:lang w:val="en-US" w:eastAsia="zh-CN"/>
        </w:rPr>
        <w:t>;</w:t>
      </w:r>
    </w:p>
    <w:p w14:paraId="4DDDE844">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中华人民共和国环境保护法</w:t>
      </w:r>
      <w:r>
        <w:rPr>
          <w:rFonts w:hint="eastAsia" w:cs="宋体"/>
          <w:sz w:val="24"/>
          <w:szCs w:val="24"/>
          <w:lang w:val="en-US" w:eastAsia="zh-CN"/>
        </w:rPr>
        <w:t>;</w:t>
      </w:r>
    </w:p>
    <w:p w14:paraId="4943B63D">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危险化学品安全管理条例</w:t>
      </w:r>
      <w:r>
        <w:rPr>
          <w:rFonts w:hint="eastAsia" w:cs="宋体"/>
          <w:sz w:val="24"/>
          <w:szCs w:val="24"/>
          <w:lang w:val="en-US" w:eastAsia="zh-CN"/>
        </w:rPr>
        <w:t>;</w:t>
      </w:r>
    </w:p>
    <w:p w14:paraId="0AD7460A">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安全生产许可证条例</w:t>
      </w:r>
      <w:r>
        <w:rPr>
          <w:rFonts w:hint="eastAsia" w:cs="宋体"/>
          <w:sz w:val="24"/>
          <w:szCs w:val="24"/>
          <w:lang w:eastAsia="zh-CN"/>
        </w:rPr>
        <w:t>。</w:t>
      </w:r>
    </w:p>
    <w:p w14:paraId="4BA34663">
      <w:pPr>
        <w:pStyle w:val="9"/>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bCs/>
          <w:sz w:val="24"/>
          <w:szCs w:val="24"/>
        </w:rPr>
        <w:t>Applicable regulations:</w:t>
      </w:r>
      <w:r>
        <w:rPr>
          <w:rFonts w:hint="eastAsia" w:ascii="宋体" w:hAnsi="宋体" w:eastAsia="宋体" w:cs="宋体"/>
          <w:b w:val="0"/>
          <w:bCs w:val="0"/>
          <w:sz w:val="24"/>
          <w:szCs w:val="24"/>
        </w:rPr>
        <w:t xml:space="preserve"> Production Safety Law of the People's Republic of China;</w:t>
      </w:r>
    </w:p>
    <w:p w14:paraId="087CB50D">
      <w:pPr>
        <w:pStyle w:val="9"/>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Occupational Disease Prevention and Control Law of the People's Republic of China;</w:t>
      </w:r>
    </w:p>
    <w:p w14:paraId="4D5EBA2D">
      <w:pPr>
        <w:pStyle w:val="9"/>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Environmental Protection Law of the People's Republic of China;</w:t>
      </w:r>
    </w:p>
    <w:p w14:paraId="1DC2B1B4">
      <w:pPr>
        <w:pStyle w:val="9"/>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the Safety Management of Hazardous Chemicals;</w:t>
      </w:r>
    </w:p>
    <w:p w14:paraId="74F14FAD">
      <w:pPr>
        <w:pStyle w:val="9"/>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Production Safety Permits.</w:t>
      </w:r>
    </w:p>
    <w:p w14:paraId="1FBAFC8A">
      <w:pPr>
        <w:pStyle w:val="9"/>
        <w:spacing w:before="79" w:line="239" w:lineRule="auto"/>
        <w:ind w:left="463"/>
        <w:rPr>
          <w:rFonts w:ascii="宋体" w:hAnsi="宋体" w:eastAsia="宋体" w:cs="宋体"/>
          <w:sz w:val="24"/>
          <w:szCs w:val="24"/>
        </w:rPr>
      </w:pPr>
    </w:p>
    <w:p w14:paraId="0AA7B50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16.其他信息</w:t>
      </w:r>
    </w:p>
    <w:p w14:paraId="320B6BE7">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0288293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350AA9C2">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eastAsia="宋体" w:cs="宋体"/>
          <w:b/>
          <w:sz w:val="30"/>
          <w:szCs w:val="30"/>
          <w:lang w:val="en-US" w:eastAsia="zh-CN"/>
        </w:rPr>
      </w:pP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217AD1"/>
    <w:rsid w:val="03F84EDA"/>
    <w:rsid w:val="063B3638"/>
    <w:rsid w:val="08AA23AF"/>
    <w:rsid w:val="0902043D"/>
    <w:rsid w:val="0B30303F"/>
    <w:rsid w:val="0B7C44D7"/>
    <w:rsid w:val="0BD95485"/>
    <w:rsid w:val="0CD36259"/>
    <w:rsid w:val="0E8C2C83"/>
    <w:rsid w:val="11B14085"/>
    <w:rsid w:val="13225964"/>
    <w:rsid w:val="13E946D3"/>
    <w:rsid w:val="1562473D"/>
    <w:rsid w:val="15B810E0"/>
    <w:rsid w:val="16414353"/>
    <w:rsid w:val="16557DFE"/>
    <w:rsid w:val="17EE050A"/>
    <w:rsid w:val="1A02204B"/>
    <w:rsid w:val="1A7438F3"/>
    <w:rsid w:val="1DA67266"/>
    <w:rsid w:val="1F240CB5"/>
    <w:rsid w:val="1F700333"/>
    <w:rsid w:val="20A025BE"/>
    <w:rsid w:val="20A53008"/>
    <w:rsid w:val="20DB76DB"/>
    <w:rsid w:val="247E49C4"/>
    <w:rsid w:val="285E2CF4"/>
    <w:rsid w:val="2953641F"/>
    <w:rsid w:val="299F1664"/>
    <w:rsid w:val="29CB58F0"/>
    <w:rsid w:val="2B870602"/>
    <w:rsid w:val="2BA3127B"/>
    <w:rsid w:val="30D53BBD"/>
    <w:rsid w:val="35593B78"/>
    <w:rsid w:val="37E62B54"/>
    <w:rsid w:val="39C66799"/>
    <w:rsid w:val="39FB3D0E"/>
    <w:rsid w:val="3DF07D29"/>
    <w:rsid w:val="3E8A248B"/>
    <w:rsid w:val="3EAF1EF2"/>
    <w:rsid w:val="3F23643C"/>
    <w:rsid w:val="3FA64F02"/>
    <w:rsid w:val="40EB51F7"/>
    <w:rsid w:val="437D25BE"/>
    <w:rsid w:val="43F9776B"/>
    <w:rsid w:val="466130BB"/>
    <w:rsid w:val="467B1EBE"/>
    <w:rsid w:val="46BC1F75"/>
    <w:rsid w:val="4AEE5B50"/>
    <w:rsid w:val="4F7D3946"/>
    <w:rsid w:val="4FCD40E3"/>
    <w:rsid w:val="52642B9B"/>
    <w:rsid w:val="52E53CDC"/>
    <w:rsid w:val="53446C55"/>
    <w:rsid w:val="53A61294"/>
    <w:rsid w:val="55C05B3D"/>
    <w:rsid w:val="57BE4AFC"/>
    <w:rsid w:val="588D420E"/>
    <w:rsid w:val="59747B68"/>
    <w:rsid w:val="5AC17C46"/>
    <w:rsid w:val="5BF572B0"/>
    <w:rsid w:val="5D355860"/>
    <w:rsid w:val="5DB02381"/>
    <w:rsid w:val="61D37ED8"/>
    <w:rsid w:val="6311290C"/>
    <w:rsid w:val="63E33011"/>
    <w:rsid w:val="67927D94"/>
    <w:rsid w:val="6EF235B1"/>
    <w:rsid w:val="6F0155FA"/>
    <w:rsid w:val="716B0C86"/>
    <w:rsid w:val="727644F9"/>
    <w:rsid w:val="787943FB"/>
    <w:rsid w:val="790B7B66"/>
    <w:rsid w:val="797B6EE2"/>
    <w:rsid w:val="7A04063C"/>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1767</Words>
  <Characters>5219</Characters>
  <Lines>0</Lines>
  <Paragraphs>0</Paragraphs>
  <TotalTime>0</TotalTime>
  <ScaleCrop>false</ScaleCrop>
  <LinksUpToDate>false</LinksUpToDate>
  <CharactersWithSpaces>10562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2024-09-26T01:00:55Z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B60C8A7FB0204FF1A40D0CBD5B9212E3_13</vt:lpwstr>
  </property>
</Properties>
</file>