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5A77DB3A">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氢氧化铝</w:t>
      </w:r>
    </w:p>
    <w:p w14:paraId="59B64C2C">
      <w:pPr>
        <w:keepNext w:val="0"/>
        <w:keepLines w:val="0"/>
        <w:pageBreakBefore w:val="0"/>
        <w:widowControl w:val="0"/>
        <w:numPr>
          <w:ilvl w:val="0"/>
          <w:numId w:val="0"/>
        </w:numPr>
        <w:kinsoku/>
        <w:wordWrap/>
        <w:overflowPunct/>
        <w:topLinePunct w:val="0"/>
        <w:autoSpaceDE/>
        <w:autoSpaceDN/>
        <w:bidi w:val="0"/>
        <w:adjustRightInd/>
        <w:snapToGrid/>
        <w:spacing w:before="71" w:line="240" w:lineRule="auto"/>
        <w:ind w:left="239" w:leftChars="114" w:firstLine="0" w:firstLineChars="0"/>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rPr>
        <w:t xml:space="preserve">Aluminium </w:t>
      </w:r>
      <w:r>
        <w:rPr>
          <w:rFonts w:hint="eastAsia" w:ascii="宋体" w:hAnsi="宋体" w:eastAsia="宋体" w:cs="宋体"/>
          <w:b/>
          <w:bCs/>
          <w:sz w:val="44"/>
          <w:szCs w:val="44"/>
          <w:lang w:val="en-US" w:eastAsia="zh-CN"/>
        </w:rPr>
        <w:t>H</w:t>
      </w:r>
      <w:r>
        <w:rPr>
          <w:rFonts w:hint="eastAsia" w:ascii="宋体" w:hAnsi="宋体" w:eastAsia="宋体" w:cs="宋体"/>
          <w:b/>
          <w:bCs/>
          <w:sz w:val="44"/>
          <w:szCs w:val="44"/>
        </w:rPr>
        <w:t>ydroxide</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5C660EA2">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Helvetica" w:hAnsi="Helvetica" w:eastAsia="Helvetica" w:cs="Helvetica"/>
          <w:i w:val="0"/>
          <w:iCs w:val="0"/>
          <w:caps w:val="0"/>
          <w:color w:val="333333"/>
          <w:spacing w:val="0"/>
          <w:sz w:val="24"/>
          <w:szCs w:val="24"/>
          <w:shd w:val="clear" w:fill="FFFFFF"/>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val="0"/>
          <w:bCs/>
          <w:sz w:val="24"/>
          <w:szCs w:val="24"/>
          <w:lang w:val="en-US" w:eastAsia="zh-CN"/>
        </w:rPr>
        <w:t>氢氧化铝</w:t>
      </w: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Aluminium </w:t>
      </w:r>
      <w:r>
        <w:rPr>
          <w:rFonts w:hint="eastAsia" w:ascii="宋体" w:hAnsi="宋体" w:eastAsia="宋体" w:cs="宋体"/>
          <w:sz w:val="24"/>
          <w:szCs w:val="24"/>
          <w:lang w:val="en-US" w:eastAsia="zh-CN"/>
        </w:rPr>
        <w:t>H</w:t>
      </w:r>
      <w:r>
        <w:rPr>
          <w:rFonts w:ascii="宋体" w:hAnsi="宋体" w:eastAsia="宋体" w:cs="宋体"/>
          <w:sz w:val="24"/>
          <w:szCs w:val="24"/>
        </w:rPr>
        <w:t>ydroxide</w:t>
      </w:r>
    </w:p>
    <w:p w14:paraId="43AFC0C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ascii="宋体" w:hAnsi="宋体" w:eastAsia="宋体" w:cs="宋体"/>
          <w:sz w:val="24"/>
          <w:szCs w:val="24"/>
        </w:rPr>
        <w:t xml:space="preserve">Aluminium </w:t>
      </w:r>
      <w:r>
        <w:rPr>
          <w:rFonts w:hint="eastAsia" w:ascii="宋体" w:hAnsi="宋体" w:eastAsia="宋体" w:cs="宋体"/>
          <w:sz w:val="24"/>
          <w:szCs w:val="24"/>
          <w:lang w:val="en-US" w:eastAsia="zh-CN"/>
        </w:rPr>
        <w:t>H</w:t>
      </w:r>
      <w:r>
        <w:rPr>
          <w:rFonts w:ascii="宋体" w:hAnsi="宋体" w:eastAsia="宋体" w:cs="宋体"/>
          <w:sz w:val="24"/>
          <w:szCs w:val="24"/>
        </w:rPr>
        <w:t>ydroxide</w:t>
      </w:r>
    </w:p>
    <w:p w14:paraId="6579A967">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Aluminium </w:t>
      </w:r>
      <w:r>
        <w:rPr>
          <w:rFonts w:hint="eastAsia" w:ascii="宋体" w:hAnsi="宋体" w:eastAsia="宋体" w:cs="宋体"/>
          <w:sz w:val="24"/>
          <w:szCs w:val="24"/>
          <w:lang w:val="en-US" w:eastAsia="zh-CN"/>
        </w:rPr>
        <w:t>H</w:t>
      </w:r>
      <w:r>
        <w:rPr>
          <w:rFonts w:ascii="宋体" w:hAnsi="宋体" w:eastAsia="宋体" w:cs="宋体"/>
          <w:sz w:val="24"/>
          <w:szCs w:val="24"/>
        </w:rPr>
        <w:t>ydroxide</w:t>
      </w:r>
    </w:p>
    <w:p w14:paraId="0DDC1D3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hint="eastAsia" w:ascii="宋体" w:hAnsi="宋体" w:eastAsia="宋体" w:cs="宋体"/>
          <w:sz w:val="24"/>
          <w:szCs w:val="24"/>
          <w:lang w:val="en-US" w:eastAsia="zh-CN"/>
        </w:rPr>
        <w:t>21645</w:t>
      </w:r>
      <w:r>
        <w:rPr>
          <w:rFonts w:ascii="宋体" w:hAnsi="宋体" w:eastAsia="宋体" w:cs="宋体"/>
          <w:sz w:val="24"/>
          <w:szCs w:val="24"/>
        </w:rPr>
        <w:t>-</w:t>
      </w:r>
      <w:r>
        <w:rPr>
          <w:rFonts w:hint="eastAsia" w:ascii="宋体" w:hAnsi="宋体" w:eastAsia="宋体" w:cs="宋体"/>
          <w:sz w:val="24"/>
          <w:szCs w:val="24"/>
          <w:lang w:val="en-US" w:eastAsia="zh-CN"/>
        </w:rPr>
        <w:t>51</w:t>
      </w:r>
      <w:r>
        <w:rPr>
          <w:rFonts w:ascii="宋体" w:hAnsi="宋体" w:eastAsia="宋体" w:cs="宋体"/>
          <w:sz w:val="24"/>
          <w:szCs w:val="24"/>
        </w:rPr>
        <w:t>-</w:t>
      </w:r>
      <w:r>
        <w:rPr>
          <w:rFonts w:hint="eastAsia" w:ascii="宋体" w:hAnsi="宋体" w:eastAsia="宋体" w:cs="宋体"/>
          <w:sz w:val="24"/>
          <w:szCs w:val="24"/>
          <w:lang w:val="en-US" w:eastAsia="zh-CN"/>
        </w:rPr>
        <w:t>2</w:t>
      </w:r>
      <w:r>
        <w:rPr>
          <w:rFonts w:ascii="宋体" w:hAnsi="宋体" w:eastAsia="宋体" w:cs="宋体"/>
          <w:sz w:val="24"/>
          <w:szCs w:val="24"/>
        </w:rPr>
        <w:t xml:space="preserve"> </w:t>
      </w:r>
    </w:p>
    <w:p w14:paraId="06CF0A78">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型号Model：</w:t>
      </w:r>
      <w:r>
        <w:rPr>
          <w:rFonts w:hint="eastAsia" w:ascii="宋体" w:hAnsi="宋体" w:eastAsia="宋体" w:cs="宋体"/>
          <w:b w:val="0"/>
          <w:bCs w:val="0"/>
          <w:sz w:val="24"/>
          <w:szCs w:val="24"/>
          <w:lang w:val="en-US" w:eastAsia="zh-CN"/>
        </w:rPr>
        <w:t>DXN-QYAL200.</w:t>
      </w:r>
    </w:p>
    <w:p w14:paraId="1E98853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宋体" w:hAnsi="宋体" w:eastAsia="宋体" w:cs="宋体"/>
          <w:sz w:val="24"/>
          <w:szCs w:val="24"/>
        </w:rPr>
      </w:pPr>
      <w:r>
        <w:rPr>
          <w:rFonts w:hint="eastAsia" w:asciiTheme="minorEastAsia" w:hAnsiTheme="minorEastAsia" w:eastAsiaTheme="minorEastAsia" w:cstheme="minorEastAsia"/>
          <w:b/>
          <w:bCs w:val="0"/>
          <w:sz w:val="24"/>
          <w:szCs w:val="24"/>
        </w:rPr>
        <w:t>分子式：</w:t>
      </w:r>
      <w:r>
        <w:rPr>
          <w:rFonts w:ascii="宋体" w:hAnsi="宋体" w:eastAsia="宋体" w:cs="宋体"/>
          <w:sz w:val="24"/>
          <w:szCs w:val="24"/>
        </w:rPr>
        <w:t>H3AlO3</w:t>
      </w:r>
    </w:p>
    <w:p w14:paraId="516BC36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sz w:val="24"/>
          <w:szCs w:val="24"/>
          <w:lang w:val="en-US" w:eastAsia="zh-CN"/>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H3AlO3</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firstLine="241" w:firstLineChars="10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78.00</w:t>
      </w:r>
    </w:p>
    <w:p w14:paraId="023A9A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Theme="minorEastAsia" w:hAnsiTheme="minorEastAsia" w:cstheme="minorEastAsia"/>
          <w:sz w:val="24"/>
          <w:szCs w:val="24"/>
          <w:lang w:val="en-US" w:eastAsia="zh-CN"/>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78.00</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4624C89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5907174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5E8DA115">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8"/>
          <w:szCs w:val="28"/>
          <w:lang w:val="en-US" w:eastAsia="zh-CN"/>
        </w:rPr>
        <w:t xml:space="preserve"> </w:t>
      </w:r>
      <w:r>
        <w:rPr>
          <w:rFonts w:ascii="宋体" w:hAnsi="宋体" w:eastAsia="宋体" w:cs="宋体"/>
          <w:b/>
          <w:bCs/>
          <w:sz w:val="24"/>
          <w:szCs w:val="24"/>
        </w:rPr>
        <w:t>描述：</w:t>
      </w:r>
      <w:r>
        <w:rPr>
          <w:rFonts w:ascii="宋体" w:hAnsi="宋体" w:eastAsia="宋体" w:cs="宋体"/>
          <w:sz w:val="24"/>
          <w:szCs w:val="24"/>
        </w:rPr>
        <w:t>物质成分配比</w:t>
      </w:r>
    </w:p>
    <w:p w14:paraId="300677F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sz w:val="24"/>
          <w:szCs w:val="24"/>
        </w:rPr>
        <w:t xml:space="preserve"> Material composition ratio</w:t>
      </w:r>
    </w:p>
    <w:tbl>
      <w:tblPr>
        <w:tblStyle w:val="7"/>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8"/>
        <w:gridCol w:w="1700"/>
        <w:gridCol w:w="5126"/>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488" w:type="dxa"/>
            <w:vAlign w:val="center"/>
          </w:tcPr>
          <w:p w14:paraId="6EF5B4F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1700" w:type="dxa"/>
            <w:vAlign w:val="center"/>
          </w:tcPr>
          <w:p w14:paraId="43E0D4F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4F7B50F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5126" w:type="dxa"/>
            <w:vAlign w:val="center"/>
          </w:tcPr>
          <w:p w14:paraId="465C978E">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7F47F34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488" w:type="dxa"/>
            <w:vAlign w:val="center"/>
          </w:tcPr>
          <w:p w14:paraId="54D2330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氢氧化铝</w:t>
            </w:r>
          </w:p>
          <w:p w14:paraId="0663E46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center"/>
              <w:textAlignment w:val="auto"/>
              <w:rPr>
                <w:rFonts w:hint="eastAsia" w:ascii="宋体" w:hAnsi="宋体" w:eastAsia="宋体" w:cs="宋体"/>
                <w:spacing w:val="-14"/>
                <w:sz w:val="24"/>
                <w:szCs w:val="24"/>
                <w:lang w:val="en-US" w:eastAsia="zh-CN"/>
              </w:rPr>
            </w:pPr>
            <w:r>
              <w:rPr>
                <w:rFonts w:ascii="宋体" w:hAnsi="宋体" w:eastAsia="宋体" w:cs="宋体"/>
                <w:sz w:val="24"/>
                <w:szCs w:val="24"/>
              </w:rPr>
              <w:t xml:space="preserve">Aluminium </w:t>
            </w:r>
            <w:r>
              <w:rPr>
                <w:rFonts w:hint="eastAsia" w:ascii="宋体" w:hAnsi="宋体" w:eastAsia="宋体" w:cs="宋体"/>
                <w:sz w:val="24"/>
                <w:szCs w:val="24"/>
                <w:lang w:val="en-US" w:eastAsia="zh-CN"/>
              </w:rPr>
              <w:t>H</w:t>
            </w:r>
            <w:r>
              <w:rPr>
                <w:rFonts w:ascii="宋体" w:hAnsi="宋体" w:eastAsia="宋体" w:cs="宋体"/>
                <w:sz w:val="24"/>
                <w:szCs w:val="24"/>
              </w:rPr>
              <w:t>ydroxide</w:t>
            </w:r>
          </w:p>
        </w:tc>
        <w:tc>
          <w:tcPr>
            <w:tcW w:w="1700" w:type="dxa"/>
            <w:vAlign w:val="center"/>
          </w:tcPr>
          <w:p w14:paraId="044AF56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30%</w:t>
            </w:r>
          </w:p>
        </w:tc>
        <w:tc>
          <w:tcPr>
            <w:tcW w:w="5126" w:type="dxa"/>
            <w:vMerge w:val="restart"/>
            <w:vAlign w:val="center"/>
          </w:tcPr>
          <w:p w14:paraId="6B381F9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阻燃剂、抛光剂、催化剂载体、陶瓷釉料等</w:t>
            </w:r>
          </w:p>
          <w:p w14:paraId="4DBDE75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eastAsia="宋体" w:cs="宋体"/>
                <w:spacing w:val="-4"/>
                <w:sz w:val="24"/>
                <w:szCs w:val="24"/>
                <w:lang w:val="en-US" w:eastAsia="zh-CN"/>
              </w:rPr>
            </w:pPr>
            <w:r>
              <w:rPr>
                <w:rFonts w:hint="default" w:ascii="宋体" w:hAnsi="宋体" w:eastAsia="宋体" w:cs="宋体"/>
                <w:spacing w:val="-4"/>
                <w:sz w:val="24"/>
                <w:szCs w:val="24"/>
                <w:lang w:val="en-US" w:eastAsia="zh-CN"/>
              </w:rPr>
              <w:t>Flame retardants, polishing agents, catalyst carriers, ceramic glazes, etc.</w:t>
            </w:r>
          </w:p>
        </w:tc>
      </w:tr>
      <w:tr w14:paraId="1A46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488" w:type="dxa"/>
            <w:vAlign w:val="center"/>
          </w:tcPr>
          <w:p w14:paraId="4B640CF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水</w:t>
            </w:r>
          </w:p>
          <w:p w14:paraId="624CB6A2">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Water</w:t>
            </w:r>
          </w:p>
        </w:tc>
        <w:tc>
          <w:tcPr>
            <w:tcW w:w="1700" w:type="dxa"/>
            <w:vAlign w:val="center"/>
          </w:tcPr>
          <w:p w14:paraId="554C29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70%</w:t>
            </w:r>
          </w:p>
        </w:tc>
        <w:tc>
          <w:tcPr>
            <w:tcW w:w="5126" w:type="dxa"/>
            <w:vMerge w:val="continue"/>
            <w:vAlign w:val="center"/>
          </w:tcPr>
          <w:p w14:paraId="59075E6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pacing w:val="-4"/>
                <w:sz w:val="24"/>
                <w:szCs w:val="24"/>
                <w:lang w:val="en-US" w:eastAsia="zh-CN"/>
              </w:rPr>
            </w:pPr>
          </w:p>
        </w:tc>
      </w:tr>
    </w:tbl>
    <w:p w14:paraId="1406F9B0">
      <w:pPr>
        <w:numPr>
          <w:ilvl w:val="0"/>
          <w:numId w:val="0"/>
        </w:numPr>
        <w:ind w:leftChars="0"/>
        <w:jc w:val="left"/>
        <w:rPr>
          <w:rFonts w:hint="default" w:ascii="Calibri" w:hAnsi="Calibri" w:eastAsia="宋体" w:cs="Calibri"/>
          <w:sz w:val="22"/>
          <w:szCs w:val="22"/>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24A23D1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p>
    <w:p w14:paraId="41FC37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val="0"/>
          <w:bCs w:val="0"/>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w:t>
      </w:r>
    </w:p>
    <w:p w14:paraId="0B2FDE1D">
      <w:pPr>
        <w:numPr>
          <w:ilvl w:val="0"/>
          <w:numId w:val="0"/>
        </w:numPr>
        <w:jc w:val="left"/>
        <w:rPr>
          <w:rFonts w:hint="default" w:ascii="宋体" w:hAnsi="宋体" w:eastAsia="宋体" w:cs="宋体"/>
          <w:b/>
          <w:bCs/>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ascii="宋体" w:hAnsi="宋体" w:eastAsia="宋体" w:cs="宋体"/>
          <w:sz w:val="24"/>
          <w:szCs w:val="24"/>
        </w:rPr>
      </w:pPr>
      <w:r>
        <w:rPr>
          <w:rFonts w:ascii="宋体" w:hAnsi="宋体" w:eastAsia="宋体" w:cs="宋体"/>
          <w:b/>
          <w:bCs/>
          <w:sz w:val="24"/>
          <w:szCs w:val="24"/>
        </w:rPr>
        <w:t>皮肤接触：</w:t>
      </w:r>
      <w:r>
        <w:rPr>
          <w:rFonts w:hint="eastAsia" w:ascii="宋体" w:hAnsi="宋体" w:eastAsia="宋体" w:cs="宋体"/>
          <w:sz w:val="24"/>
          <w:szCs w:val="24"/>
        </w:rPr>
        <w:t>用肥皂清洗及用清水洗至少 15 分钟，迅速就医治疗</w:t>
      </w:r>
      <w:bookmarkStart w:id="0" w:name="_GoBack"/>
      <w:bookmarkEnd w:id="0"/>
      <w:r>
        <w:rPr>
          <w:rFonts w:hint="eastAsia" w:ascii="宋体" w:hAnsi="宋体" w:eastAsia="宋体" w:cs="宋体"/>
          <w:sz w:val="24"/>
          <w:szCs w:val="24"/>
        </w:rPr>
        <w:t>已红肿及生水泡之皮肤。</w:t>
      </w:r>
    </w:p>
    <w:p w14:paraId="2D2B977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Wash with soap and water for at least 15 minutes, and seek medical attention immediately for any redness, swelling, or blisters.</w:t>
      </w:r>
    </w:p>
    <w:p w14:paraId="19D45C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眼睛接触：</w:t>
      </w:r>
      <w:r>
        <w:rPr>
          <w:rFonts w:hint="eastAsia" w:ascii="宋体" w:hAnsi="宋体" w:eastAsia="宋体" w:cs="宋体"/>
          <w:sz w:val="24"/>
          <w:szCs w:val="24"/>
        </w:rPr>
        <w:t>立即用大量的清水至少持续冲洗 15 分钟，送眼科医生诊疗。</w:t>
      </w:r>
    </w:p>
    <w:p w14:paraId="363BBA8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Immediately rinse with plenty of water for at least 15 minutes and seek medical attention from an ophthalmologist.</w:t>
      </w:r>
    </w:p>
    <w:p w14:paraId="21AA325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sz w:val="24"/>
          <w:szCs w:val="24"/>
          <w:lang w:eastAsia="zh-CN"/>
        </w:rPr>
      </w:pPr>
      <w:r>
        <w:rPr>
          <w:rFonts w:ascii="宋体" w:hAnsi="宋体" w:eastAsia="宋体" w:cs="宋体"/>
          <w:b/>
          <w:bCs/>
          <w:sz w:val="24"/>
          <w:szCs w:val="24"/>
        </w:rPr>
        <w:t>吸入：</w:t>
      </w:r>
      <w:r>
        <w:rPr>
          <w:rFonts w:hint="eastAsia" w:ascii="宋体" w:hAnsi="宋体" w:eastAsia="宋体" w:cs="宋体"/>
          <w:sz w:val="24"/>
          <w:szCs w:val="24"/>
        </w:rPr>
        <w:t>将人移至空气新鲜处以提供所需氧气。</w:t>
      </w:r>
    </w:p>
    <w:p w14:paraId="6AF3C98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 xml:space="preserve">Inhalation: </w:t>
      </w:r>
      <w:r>
        <w:rPr>
          <w:rFonts w:hint="eastAsia" w:ascii="宋体" w:hAnsi="宋体" w:eastAsia="宋体" w:cs="宋体"/>
          <w:sz w:val="24"/>
          <w:szCs w:val="24"/>
        </w:rPr>
        <w:t>Move the person to fresh air to provide necessary oxygen.</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食入：</w:t>
      </w:r>
      <w:r>
        <w:rPr>
          <w:rFonts w:hint="eastAsia" w:ascii="宋体" w:hAnsi="宋体" w:eastAsia="宋体" w:cs="宋体"/>
          <w:sz w:val="24"/>
          <w:szCs w:val="24"/>
        </w:rPr>
        <w:t>不可送入任何东西给没知觉或痉挛病人口中，应让有知觉或清醒的病人饮大量的水。不可催 吐，迅速就医治疗。</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Do not put anything into the mouth of an unconscious or convulsing patient. Conscious or conscious patients should be allowed to drink plenty of water. Do not induce vomiting and seek medical treatment immediately.</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10"/>
        <w:spacing w:before="71" w:line="221" w:lineRule="auto"/>
        <w:ind w:left="239" w:leftChars="114" w:firstLine="0" w:firstLineChars="0"/>
        <w:outlineLvl w:val="0"/>
        <w:rPr>
          <w:rFonts w:ascii="宋体" w:hAnsi="宋体" w:eastAsia="宋体" w:cs="宋体"/>
          <w:sz w:val="24"/>
          <w:szCs w:val="24"/>
        </w:rPr>
      </w:pPr>
    </w:p>
    <w:p w14:paraId="05016895">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ascii="宋体" w:hAnsi="宋体" w:eastAsia="宋体" w:cs="宋体"/>
          <w:b/>
          <w:bCs/>
          <w:sz w:val="24"/>
          <w:szCs w:val="24"/>
        </w:rPr>
        <w:t>灭火方法及灭火剂：</w:t>
      </w:r>
      <w:r>
        <w:rPr>
          <w:rFonts w:hint="eastAsia" w:ascii="宋体" w:hAnsi="宋体" w:eastAsia="宋体" w:cs="宋体"/>
          <w:sz w:val="24"/>
          <w:szCs w:val="24"/>
        </w:rPr>
        <w:t>用水雾,</w:t>
      </w:r>
      <w:r>
        <w:rPr>
          <w:rFonts w:ascii="宋体" w:hAnsi="宋体" w:eastAsia="宋体" w:cs="宋体"/>
          <w:sz w:val="24"/>
          <w:szCs w:val="24"/>
        </w:rPr>
        <w:t>抗乙醇泡沫</w:t>
      </w:r>
      <w:r>
        <w:rPr>
          <w:rFonts w:hint="eastAsia" w:ascii="宋体" w:hAnsi="宋体" w:eastAsia="宋体" w:cs="宋体"/>
          <w:sz w:val="24"/>
          <w:szCs w:val="24"/>
        </w:rPr>
        <w:t>,干粉或二氧化碳灭火。</w:t>
      </w:r>
    </w:p>
    <w:p w14:paraId="1CF07531">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val="0"/>
          <w:bCs w:val="0"/>
          <w:sz w:val="24"/>
          <w:szCs w:val="24"/>
          <w:lang w:eastAsia="zh-CN"/>
        </w:rPr>
      </w:pPr>
      <w:r>
        <w:rPr>
          <w:rFonts w:hint="eastAsia" w:cs="宋体"/>
          <w:b/>
          <w:bCs/>
          <w:sz w:val="24"/>
          <w:szCs w:val="24"/>
          <w:lang w:eastAsia="zh-CN"/>
        </w:rPr>
        <w:t>Fire extinguishing methods and extinguishing agents:</w:t>
      </w:r>
      <w:r>
        <w:rPr>
          <w:rFonts w:hint="eastAsia" w:cs="宋体"/>
          <w:b w:val="0"/>
          <w:bCs w:val="0"/>
          <w:sz w:val="24"/>
          <w:szCs w:val="24"/>
          <w:lang w:eastAsia="zh-CN"/>
        </w:rPr>
        <w:t xml:space="preserve"> Use water spray, alcohol-resistant foam, dry powder or carbon dioxide to extinguish fire.</w:t>
      </w:r>
    </w:p>
    <w:p w14:paraId="220112D2">
      <w:pPr>
        <w:pStyle w:val="10"/>
        <w:spacing w:before="71" w:line="221" w:lineRule="auto"/>
        <w:ind w:left="239" w:leftChars="114" w:firstLine="0" w:firstLineChars="0"/>
        <w:outlineLvl w:val="0"/>
        <w:rPr>
          <w:rFonts w:hint="eastAsia" w:cs="宋体"/>
          <w:sz w:val="24"/>
          <w:szCs w:val="24"/>
          <w:lang w:eastAsia="zh-CN"/>
        </w:rPr>
      </w:pPr>
    </w:p>
    <w:p w14:paraId="4C6C72F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10"/>
        <w:spacing w:before="71" w:line="221" w:lineRule="auto"/>
        <w:ind w:left="239" w:leftChars="114" w:firstLine="0" w:firstLineChars="0"/>
        <w:outlineLvl w:val="0"/>
        <w:rPr>
          <w:rFonts w:ascii="宋体" w:hAnsi="宋体" w:eastAsia="宋体" w:cs="宋体"/>
          <w:sz w:val="24"/>
          <w:szCs w:val="24"/>
        </w:rPr>
      </w:pPr>
    </w:p>
    <w:p w14:paraId="69EFCC8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人员的预防,防护设备和紧急处理程序</w:t>
      </w:r>
      <w:r>
        <w:rPr>
          <w:rFonts w:hint="eastAsia" w:cs="宋体"/>
          <w:b/>
          <w:bCs/>
          <w:sz w:val="24"/>
          <w:szCs w:val="24"/>
          <w:lang w:eastAsia="zh-CN"/>
        </w:rPr>
        <w:t>：</w:t>
      </w:r>
      <w:r>
        <w:rPr>
          <w:rFonts w:hint="eastAsia" w:ascii="宋体" w:hAnsi="宋体" w:eastAsia="宋体" w:cs="宋体"/>
          <w:sz w:val="24"/>
          <w:szCs w:val="24"/>
        </w:rPr>
        <w:t>防止粉尘的生成。 防止吸入蒸汽、气雾或气体。</w:t>
      </w:r>
    </w:p>
    <w:p w14:paraId="6E4D0091">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Personal precautions, protective equipment and emergency procedures:</w:t>
      </w:r>
      <w:r>
        <w:rPr>
          <w:rFonts w:hint="eastAsia" w:ascii="宋体" w:hAnsi="宋体" w:eastAsia="宋体" w:cs="宋体"/>
          <w:sz w:val="24"/>
          <w:szCs w:val="24"/>
        </w:rPr>
        <w:t xml:space="preserve"> Prevent dust formation. Prevent inhalation of vapors, mists or gases.</w:t>
      </w:r>
    </w:p>
    <w:p w14:paraId="20320F3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环境预防措施</w:t>
      </w:r>
      <w:r>
        <w:rPr>
          <w:rFonts w:hint="eastAsia" w:cs="宋体"/>
          <w:b/>
          <w:bCs/>
          <w:sz w:val="24"/>
          <w:szCs w:val="24"/>
          <w:lang w:val="en-US" w:eastAsia="zh-CN"/>
        </w:rPr>
        <w:t>:</w:t>
      </w:r>
      <w:r>
        <w:rPr>
          <w:rFonts w:hint="eastAsia" w:ascii="宋体" w:hAnsi="宋体" w:eastAsia="宋体" w:cs="宋体"/>
          <w:sz w:val="24"/>
          <w:szCs w:val="24"/>
        </w:rPr>
        <w:t>不要让产物进入下水道。</w:t>
      </w:r>
    </w:p>
    <w:p w14:paraId="29F1EFE0">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Environmental precautions:</w:t>
      </w:r>
      <w:r>
        <w:rPr>
          <w:rFonts w:hint="eastAsia" w:ascii="宋体" w:hAnsi="宋体" w:eastAsia="宋体" w:cs="宋体"/>
          <w:sz w:val="24"/>
          <w:szCs w:val="24"/>
        </w:rPr>
        <w:t xml:space="preserve"> Do not allow product to enter drains.</w:t>
      </w:r>
    </w:p>
    <w:p w14:paraId="39174344">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抑制和清除溢出物的方法和材料</w:t>
      </w:r>
      <w:r>
        <w:rPr>
          <w:rFonts w:hint="eastAsia" w:cs="宋体"/>
          <w:b/>
          <w:bCs/>
          <w:sz w:val="24"/>
          <w:szCs w:val="24"/>
          <w:lang w:val="en-US" w:eastAsia="zh-CN"/>
        </w:rPr>
        <w:t>:</w:t>
      </w:r>
      <w:r>
        <w:rPr>
          <w:rFonts w:hint="eastAsia" w:ascii="宋体" w:hAnsi="宋体" w:eastAsia="宋体" w:cs="宋体"/>
          <w:sz w:val="24"/>
          <w:szCs w:val="24"/>
        </w:rPr>
        <w:t>扫掉和铲掉。 存放在合适的封闭的处理容器内。</w:t>
      </w:r>
    </w:p>
    <w:p w14:paraId="46A7F73C">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Methods and materials for containment and cleanup:</w:t>
      </w:r>
      <w:r>
        <w:rPr>
          <w:rFonts w:hint="eastAsia" w:ascii="宋体" w:hAnsi="宋体" w:eastAsia="宋体" w:cs="宋体"/>
          <w:sz w:val="24"/>
          <w:szCs w:val="24"/>
        </w:rPr>
        <w:t xml:space="preserve"> Sweep up and shovel. Store in suitable closed disposal containers.</w:t>
      </w:r>
    </w:p>
    <w:p w14:paraId="37C6DCAD">
      <w:pPr>
        <w:pStyle w:val="10"/>
        <w:spacing w:before="71" w:line="221" w:lineRule="auto"/>
        <w:ind w:left="239" w:leftChars="114" w:firstLine="0" w:firstLineChars="0"/>
        <w:outlineLvl w:val="0"/>
        <w:rPr>
          <w:rFonts w:hint="default" w:ascii="Helvetica" w:hAnsi="Helvetica" w:eastAsia="Helvetica" w:cs="Helvetica"/>
          <w:i w:val="0"/>
          <w:iCs w:val="0"/>
          <w:caps w:val="0"/>
          <w:color w:val="333333"/>
          <w:spacing w:val="0"/>
          <w:sz w:val="21"/>
          <w:szCs w:val="21"/>
          <w:shd w:val="clear" w:fill="FFFFFF"/>
          <w:lang w:val="en-US" w:eastAsia="zh-CN"/>
        </w:rPr>
      </w:pPr>
    </w:p>
    <w:p w14:paraId="2E57977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10"/>
        <w:numPr>
          <w:ilvl w:val="0"/>
          <w:numId w:val="0"/>
        </w:numPr>
        <w:spacing w:before="71" w:line="221" w:lineRule="auto"/>
        <w:ind w:left="239" w:leftChars="114" w:firstLine="0" w:firstLineChars="0"/>
        <w:outlineLvl w:val="0"/>
        <w:rPr>
          <w:rFonts w:ascii="宋体" w:hAnsi="宋体" w:eastAsia="宋体" w:cs="宋体"/>
          <w:sz w:val="24"/>
          <w:szCs w:val="24"/>
        </w:rPr>
      </w:pPr>
    </w:p>
    <w:p w14:paraId="50D68B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auto"/>
          <w:spacing w:val="0"/>
          <w:sz w:val="24"/>
          <w:szCs w:val="24"/>
          <w:shd w:val="clear" w:fill="FFFFFF"/>
        </w:rPr>
      </w:pPr>
      <w:r>
        <w:rPr>
          <w:rFonts w:ascii="宋体" w:hAnsi="宋体" w:eastAsia="宋体" w:cs="宋体"/>
          <w:b/>
          <w:bCs/>
          <w:sz w:val="24"/>
          <w:szCs w:val="24"/>
        </w:rPr>
        <w:t>安全操作的注意事项</w:t>
      </w:r>
      <w:r>
        <w:rPr>
          <w:rFonts w:hint="eastAsia" w:ascii="宋体" w:hAnsi="宋体" w:eastAsia="宋体" w:cs="宋体"/>
          <w:b/>
          <w:bCs/>
          <w:sz w:val="24"/>
          <w:szCs w:val="24"/>
          <w:lang w:val="en-US" w:eastAsia="zh-CN"/>
        </w:rPr>
        <w:t>:</w:t>
      </w:r>
      <w:r>
        <w:rPr>
          <w:rFonts w:hint="eastAsia" w:ascii="宋体" w:hAnsi="宋体" w:eastAsia="宋体" w:cs="宋体"/>
          <w:i w:val="0"/>
          <w:iCs w:val="0"/>
          <w:caps w:val="0"/>
          <w:color w:val="auto"/>
          <w:spacing w:val="0"/>
          <w:sz w:val="24"/>
          <w:szCs w:val="24"/>
          <w:shd w:val="clear" w:fill="FFFFFF"/>
        </w:rPr>
        <w:t>在有粉尘生成的地方,提供合适的排风设备。</w:t>
      </w:r>
    </w:p>
    <w:p w14:paraId="7D4242C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Precautions for safe handling:</w:t>
      </w:r>
      <w:r>
        <w:rPr>
          <w:rFonts w:hint="eastAsia" w:ascii="宋体" w:hAnsi="宋体" w:eastAsia="宋体" w:cs="宋体"/>
          <w:i w:val="0"/>
          <w:iCs w:val="0"/>
          <w:caps w:val="0"/>
          <w:color w:val="auto"/>
          <w:spacing w:val="0"/>
          <w:sz w:val="24"/>
          <w:szCs w:val="24"/>
          <w:shd w:val="clear" w:fill="FFFFFF"/>
          <w:lang w:val="en-US" w:eastAsia="zh-CN"/>
        </w:rPr>
        <w:t xml:space="preserve"> Provide suitable exhaust equipment where dust is generated.</w:t>
      </w:r>
    </w:p>
    <w:p w14:paraId="747E6B0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default" w:ascii="宋体" w:hAnsi="宋体" w:eastAsia="宋体" w:cs="宋体"/>
          <w:b/>
          <w:bCs/>
          <w:color w:val="auto"/>
          <w:sz w:val="24"/>
          <w:szCs w:val="24"/>
        </w:rPr>
        <w:t>安全储存的条件,包括任何不兼容性</w:t>
      </w:r>
      <w:r>
        <w:rPr>
          <w:rFonts w:hint="eastAsia" w:ascii="宋体" w:hAnsi="宋体" w:eastAsia="宋体" w:cs="宋体"/>
          <w:b/>
          <w:bCs/>
          <w:color w:val="auto"/>
          <w:sz w:val="24"/>
          <w:szCs w:val="24"/>
          <w:lang w:val="en-US" w:eastAsia="zh-CN"/>
        </w:rPr>
        <w:t>:</w:t>
      </w:r>
      <w:r>
        <w:rPr>
          <w:rFonts w:hint="default" w:ascii="宋体" w:hAnsi="宋体" w:eastAsia="宋体" w:cs="宋体"/>
          <w:color w:val="auto"/>
          <w:sz w:val="24"/>
          <w:szCs w:val="24"/>
        </w:rPr>
        <w:t>贮存在阴凉处</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rPr>
        <w:t>容器保持紧闭，储存在干燥通风处。</w:t>
      </w:r>
      <w:r>
        <w:rPr>
          <w:rFonts w:hint="eastAsia" w:ascii="宋体" w:hAnsi="宋体" w:eastAsia="宋体" w:cs="宋体"/>
          <w:i w:val="0"/>
          <w:iCs w:val="0"/>
          <w:caps w:val="0"/>
          <w:color w:val="auto"/>
          <w:spacing w:val="0"/>
          <w:sz w:val="24"/>
          <w:szCs w:val="24"/>
          <w:shd w:val="clear" w:fill="FFFFFF"/>
        </w:rPr>
        <w:t>存放于惰性气体环境中。远离不相容的材料比如氧化剂存放</w:t>
      </w:r>
      <w:r>
        <w:rPr>
          <w:rFonts w:hint="eastAsia" w:ascii="宋体" w:hAnsi="宋体" w:eastAsia="宋体" w:cs="宋体"/>
          <w:i w:val="0"/>
          <w:iCs w:val="0"/>
          <w:caps w:val="0"/>
          <w:color w:val="auto"/>
          <w:spacing w:val="0"/>
          <w:sz w:val="24"/>
          <w:szCs w:val="24"/>
          <w:shd w:val="clear" w:fill="FFFFFF"/>
          <w:lang w:eastAsia="zh-CN"/>
        </w:rPr>
        <w:t>。</w:t>
      </w:r>
    </w:p>
    <w:p w14:paraId="33183E8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Conditions for safe storage, including any incompatibilities:</w:t>
      </w:r>
      <w:r>
        <w:rPr>
          <w:rFonts w:hint="default" w:ascii="宋体" w:hAnsi="宋体" w:eastAsia="宋体" w:cs="宋体"/>
          <w:color w:val="auto"/>
          <w:sz w:val="24"/>
          <w:szCs w:val="24"/>
          <w:lang w:val="en-US" w:eastAsia="zh-CN"/>
        </w:rPr>
        <w:t xml:space="preserve"> Store in a cool place. Keep the container tightly closed in a dry and ventilated place.Store in an inert gas environment. Keep away from incompatible materials such as oxidants.</w:t>
      </w:r>
    </w:p>
    <w:p w14:paraId="474FA8C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Exposure controls and personal protection</w:t>
      </w:r>
    </w:p>
    <w:p w14:paraId="77E9355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p>
    <w:p w14:paraId="198882E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ascii="宋体" w:hAnsi="宋体" w:eastAsia="宋体" w:cs="宋体"/>
          <w:b/>
          <w:bCs/>
          <w:color w:val="auto"/>
          <w:sz w:val="24"/>
          <w:szCs w:val="24"/>
        </w:rPr>
        <w:t>工程控制：</w:t>
      </w:r>
      <w:r>
        <w:rPr>
          <w:rFonts w:hint="eastAsia" w:ascii="宋体" w:hAnsi="宋体" w:eastAsia="宋体" w:cs="宋体"/>
          <w:color w:val="auto"/>
          <w:sz w:val="24"/>
          <w:szCs w:val="24"/>
        </w:rPr>
        <w:t>密闭操作，局部排风</w:t>
      </w:r>
    </w:p>
    <w:p w14:paraId="4719E1B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Engineering control:</w:t>
      </w:r>
      <w:r>
        <w:rPr>
          <w:rFonts w:hint="eastAsia" w:ascii="宋体" w:hAnsi="宋体" w:eastAsia="宋体" w:cs="宋体"/>
          <w:color w:val="auto"/>
          <w:sz w:val="24"/>
          <w:szCs w:val="24"/>
        </w:rPr>
        <w:t>Closed operation, local exhaust ventilation.</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呼吸系统防护：</w:t>
      </w:r>
      <w:r>
        <w:rPr>
          <w:rFonts w:ascii="宋体" w:hAnsi="宋体" w:eastAsia="宋体" w:cs="宋体"/>
          <w:color w:val="auto"/>
          <w:sz w:val="24"/>
          <w:szCs w:val="24"/>
        </w:rPr>
        <w:t>作业工人建议佩戴防尘口罩。</w:t>
      </w:r>
    </w:p>
    <w:p w14:paraId="0DEB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Respiratory system protection:</w:t>
      </w:r>
      <w:r>
        <w:rPr>
          <w:rFonts w:hint="eastAsia" w:ascii="宋体" w:hAnsi="宋体" w:eastAsia="宋体" w:cs="宋体"/>
          <w:color w:val="auto"/>
          <w:sz w:val="24"/>
          <w:szCs w:val="24"/>
        </w:rPr>
        <w:t xml:space="preserve"> Workers are recommended to wear dust masks.</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眼睛防护：</w:t>
      </w:r>
      <w:r>
        <w:rPr>
          <w:rFonts w:ascii="宋体" w:hAnsi="宋体" w:eastAsia="宋体" w:cs="宋体"/>
          <w:color w:val="auto"/>
          <w:sz w:val="24"/>
          <w:szCs w:val="24"/>
        </w:rPr>
        <w:t>戴化学安全防护眼镜。</w:t>
      </w:r>
    </w:p>
    <w:p w14:paraId="4FB07F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Eye protection:</w:t>
      </w:r>
      <w:r>
        <w:rPr>
          <w:rFonts w:hint="eastAsia" w:ascii="宋体" w:hAnsi="宋体" w:eastAsia="宋体" w:cs="宋体"/>
          <w:color w:val="auto"/>
          <w:sz w:val="24"/>
          <w:szCs w:val="24"/>
        </w:rPr>
        <w:t xml:space="preserve"> Wear chemical safety glasses.</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身体防护：</w:t>
      </w:r>
      <w:r>
        <w:rPr>
          <w:rFonts w:ascii="宋体" w:hAnsi="宋体" w:eastAsia="宋体" w:cs="宋体"/>
          <w:color w:val="auto"/>
          <w:sz w:val="24"/>
          <w:szCs w:val="24"/>
        </w:rPr>
        <w:t>防护服。</w:t>
      </w:r>
    </w:p>
    <w:p w14:paraId="789950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Body protection:</w:t>
      </w:r>
      <w:r>
        <w:rPr>
          <w:rFonts w:hint="eastAsia" w:ascii="宋体" w:hAnsi="宋体" w:eastAsia="宋体" w:cs="宋体"/>
          <w:color w:val="auto"/>
          <w:sz w:val="24"/>
          <w:szCs w:val="24"/>
        </w:rPr>
        <w:t xml:space="preserve"> Protective clothing.</w:t>
      </w:r>
      <w:r>
        <w:rPr>
          <w:rFonts w:ascii="宋体" w:hAnsi="宋体" w:eastAsia="宋体" w:cs="宋体"/>
          <w:color w:val="auto"/>
          <w:sz w:val="24"/>
          <w:szCs w:val="24"/>
        </w:rPr>
        <w:t> </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手防护：</w:t>
      </w:r>
      <w:r>
        <w:rPr>
          <w:rFonts w:ascii="宋体" w:hAnsi="宋体" w:eastAsia="宋体" w:cs="宋体"/>
          <w:color w:val="auto"/>
          <w:sz w:val="24"/>
          <w:szCs w:val="24"/>
        </w:rPr>
        <w:t>配戴防护手套。</w:t>
      </w:r>
    </w:p>
    <w:p w14:paraId="194E33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Hand protection:</w:t>
      </w:r>
      <w:r>
        <w:rPr>
          <w:rFonts w:hint="eastAsia" w:ascii="宋体" w:hAnsi="宋体" w:eastAsia="宋体" w:cs="宋体"/>
          <w:color w:val="auto"/>
          <w:sz w:val="24"/>
          <w:szCs w:val="24"/>
        </w:rPr>
        <w:t xml:space="preserve"> Wear protective gloves.</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其他防护：</w:t>
      </w:r>
      <w:r>
        <w:rPr>
          <w:rFonts w:ascii="宋体" w:hAnsi="宋体" w:eastAsia="宋体" w:cs="宋体"/>
          <w:color w:val="auto"/>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Other protection:</w:t>
      </w:r>
      <w:r>
        <w:rPr>
          <w:rFonts w:hint="default" w:ascii="宋体" w:hAnsi="宋体" w:eastAsia="宋体" w:cs="宋体"/>
          <w:color w:val="auto"/>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color w:val="auto"/>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color w:val="auto"/>
          <w:sz w:val="30"/>
          <w:szCs w:val="30"/>
          <w:lang w:val="en-US" w:eastAsia="zh-CN"/>
        </w:rPr>
        <w:t>Physical and chemical prop</w:t>
      </w:r>
      <w:r>
        <w:rPr>
          <w:rFonts w:hint="eastAsia" w:ascii="Times New Roman" w:hAnsi="Times New Roman" w:eastAsia="宋体" w:cs="宋体"/>
          <w:b/>
          <w:sz w:val="30"/>
          <w:szCs w:val="30"/>
          <w:lang w:val="en-US" w:eastAsia="zh-CN"/>
        </w:rPr>
        <w:t>erties</w:t>
      </w:r>
    </w:p>
    <w:p w14:paraId="49F96F4C">
      <w:pPr>
        <w:numPr>
          <w:ilvl w:val="0"/>
          <w:numId w:val="0"/>
        </w:numPr>
        <w:ind w:leftChars="114"/>
        <w:jc w:val="left"/>
        <w:rPr>
          <w:rFonts w:hint="eastAsia" w:ascii="Times New Roman" w:hAnsi="Times New Roman" w:eastAsia="宋体" w:cs="宋体"/>
          <w:b/>
          <w:sz w:val="24"/>
          <w:szCs w:val="24"/>
          <w:lang w:val="en-US" w:eastAsia="zh-CN"/>
        </w:rPr>
      </w:pPr>
    </w:p>
    <w:tbl>
      <w:tblPr>
        <w:tblStyle w:val="7"/>
        <w:tblW w:w="9456"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6010"/>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颜色</w:t>
            </w:r>
            <w:r>
              <w:rPr>
                <w:rFonts w:hint="eastAsia"/>
                <w:b/>
                <w:bCs/>
                <w:spacing w:val="-5"/>
              </w:rPr>
              <w:t>Color</w:t>
            </w:r>
          </w:p>
        </w:tc>
        <w:tc>
          <w:tcPr>
            <w:tcW w:w="6010" w:type="dxa"/>
            <w:vAlign w:val="center"/>
          </w:tcPr>
          <w:p w14:paraId="795DAF3A">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23"/>
                <w:lang w:val="en-US" w:eastAsia="zh-CN"/>
              </w:rPr>
              <w:t>白色White</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状态</w:t>
            </w:r>
            <w:r>
              <w:rPr>
                <w:rFonts w:hint="eastAsia"/>
                <w:b/>
                <w:bCs/>
                <w:spacing w:val="-5"/>
              </w:rPr>
              <w:t>State</w:t>
            </w:r>
          </w:p>
        </w:tc>
        <w:tc>
          <w:tcPr>
            <w:tcW w:w="6010" w:type="dxa"/>
            <w:vAlign w:val="center"/>
          </w:tcPr>
          <w:p w14:paraId="6CBA3718">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kern w:val="2"/>
                <w:sz w:val="24"/>
                <w:szCs w:val="24"/>
                <w:lang w:val="en-US" w:eastAsia="zh-CN" w:bidi="ar-SA"/>
              </w:rPr>
            </w:pPr>
            <w:r>
              <w:rPr>
                <w:spacing w:val="-5"/>
              </w:rPr>
              <w:t>粉末</w:t>
            </w:r>
            <w:r>
              <w:rPr>
                <w:rFonts w:hint="eastAsia"/>
                <w:spacing w:val="-5"/>
              </w:rPr>
              <w:t>Powder</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6"/>
              </w:rPr>
              <w:t>气味</w:t>
            </w:r>
            <w:r>
              <w:rPr>
                <w:rFonts w:hint="eastAsia"/>
                <w:b/>
                <w:bCs/>
                <w:spacing w:val="-6"/>
              </w:rPr>
              <w:t>Odor</w:t>
            </w:r>
          </w:p>
        </w:tc>
        <w:tc>
          <w:tcPr>
            <w:tcW w:w="6010" w:type="dxa"/>
            <w:vAlign w:val="center"/>
          </w:tcPr>
          <w:p w14:paraId="5EB97CE4">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24"/>
                <w:szCs w:val="24"/>
                <w:lang w:val="en-US" w:eastAsia="zh-CN" w:bidi="ar-SA"/>
              </w:rPr>
            </w:pPr>
            <w:r>
              <w:rPr>
                <w:spacing w:val="-6"/>
              </w:rPr>
              <w:t>无味</w:t>
            </w:r>
            <w:r>
              <w:rPr>
                <w:rFonts w:hint="eastAsia"/>
                <w:spacing w:val="-6"/>
              </w:rPr>
              <w:t>Odorless</w:t>
            </w:r>
          </w:p>
        </w:tc>
      </w:tr>
      <w:tr w14:paraId="0D73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3446" w:type="dxa"/>
            <w:vAlign w:val="center"/>
          </w:tcPr>
          <w:p w14:paraId="326C65D2">
            <w:pPr>
              <w:pStyle w:val="10"/>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eastAsia"/>
                <w:b/>
                <w:bCs/>
                <w:spacing w:val="-6"/>
                <w:lang w:val="en-US" w:eastAsia="zh-CN"/>
              </w:rPr>
            </w:pPr>
            <w:r>
              <w:rPr>
                <w:rFonts w:hint="eastAsia"/>
                <w:b/>
                <w:bCs/>
                <w:spacing w:val="-6"/>
                <w:lang w:val="en-US" w:eastAsia="zh-CN"/>
              </w:rPr>
              <w:t>溶解度</w:t>
            </w:r>
          </w:p>
          <w:p w14:paraId="7AB5582B">
            <w:pPr>
              <w:pStyle w:val="10"/>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default" w:ascii="宋体" w:hAnsi="宋体" w:eastAsia="宋体" w:cs="宋体"/>
                <w:b/>
                <w:bCs/>
                <w:kern w:val="2"/>
                <w:sz w:val="24"/>
                <w:szCs w:val="24"/>
                <w:lang w:val="en-US" w:eastAsia="zh-CN" w:bidi="ar-SA"/>
              </w:rPr>
            </w:pPr>
            <w:r>
              <w:rPr>
                <w:rFonts w:hint="eastAsia"/>
                <w:b/>
                <w:bCs/>
                <w:spacing w:val="-6"/>
                <w:lang w:val="en-US" w:eastAsia="zh-CN"/>
              </w:rPr>
              <w:t>Solubility</w:t>
            </w:r>
          </w:p>
        </w:tc>
        <w:tc>
          <w:tcPr>
            <w:tcW w:w="6010" w:type="dxa"/>
            <w:vAlign w:val="center"/>
          </w:tcPr>
          <w:p w14:paraId="12B504FA">
            <w:pPr>
              <w:pStyle w:val="10"/>
              <w:keepNext w:val="0"/>
              <w:keepLines w:val="0"/>
              <w:pageBreakBefore w:val="0"/>
              <w:widowControl w:val="0"/>
              <w:kinsoku/>
              <w:wordWrap/>
              <w:overflowPunct/>
              <w:topLinePunct w:val="0"/>
              <w:autoSpaceDE/>
              <w:autoSpaceDN/>
              <w:bidi w:val="0"/>
              <w:adjustRightInd/>
              <w:snapToGrid/>
              <w:spacing w:before="26" w:line="360" w:lineRule="exact"/>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i w:val="0"/>
                <w:iCs w:val="0"/>
                <w:caps w:val="0"/>
                <w:color w:val="auto"/>
                <w:spacing w:val="0"/>
                <w:sz w:val="24"/>
                <w:szCs w:val="24"/>
                <w:shd w:val="clear" w:fill="FFFFFF"/>
              </w:rPr>
              <w:t>不溶于水和醇，能溶于无机酸和碱溶液</w:t>
            </w:r>
            <w:r>
              <w:rPr>
                <w:rFonts w:hint="eastAsia" w:ascii="宋体" w:hAnsi="宋体" w:eastAsia="宋体" w:cs="宋体"/>
                <w:sz w:val="24"/>
                <w:szCs w:val="24"/>
              </w:rPr>
              <w:t>Insoluble in water and alcohol, soluble in inorganic acid and alkali solutions</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3446" w:type="dxa"/>
            <w:vAlign w:val="center"/>
          </w:tcPr>
          <w:p w14:paraId="7C513D88">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eastAsia"/>
                <w:b/>
                <w:bCs/>
                <w:lang w:val="en-US" w:eastAsia="zh-CN"/>
              </w:rPr>
            </w:pPr>
            <w:r>
              <w:rPr>
                <w:rFonts w:hint="eastAsia"/>
                <w:b/>
                <w:bCs/>
                <w:lang w:val="en-US" w:eastAsia="zh-CN"/>
              </w:rPr>
              <w:t>相对密度</w:t>
            </w:r>
          </w:p>
          <w:p w14:paraId="2E23E2D7">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rFonts w:hint="eastAsia"/>
                <w:b/>
                <w:bCs/>
                <w:lang w:val="en-US" w:eastAsia="zh-CN"/>
              </w:rPr>
              <w:t>Relative density</w:t>
            </w:r>
          </w:p>
        </w:tc>
        <w:tc>
          <w:tcPr>
            <w:tcW w:w="6010" w:type="dxa"/>
            <w:vAlign w:val="center"/>
          </w:tcPr>
          <w:p w14:paraId="73A03C99">
            <w:pPr>
              <w:pStyle w:val="10"/>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i w:val="0"/>
                <w:iCs w:val="0"/>
                <w:caps w:val="0"/>
                <w:color w:val="333333"/>
                <w:spacing w:val="0"/>
                <w:sz w:val="24"/>
                <w:szCs w:val="24"/>
                <w:shd w:val="clear" w:fill="FFFFFF"/>
                <w:lang w:val="en-US" w:eastAsia="zh-CN"/>
              </w:rPr>
            </w:pPr>
            <w:r>
              <w:rPr>
                <w:rFonts w:hint="eastAsia" w:cs="宋体"/>
                <w:i w:val="0"/>
                <w:iCs w:val="0"/>
                <w:caps w:val="0"/>
                <w:color w:val="auto"/>
                <w:spacing w:val="0"/>
                <w:sz w:val="24"/>
                <w:szCs w:val="24"/>
                <w:shd w:val="clear" w:fill="FFFFFF"/>
                <w:lang w:val="en-US" w:eastAsia="zh-CN"/>
              </w:rPr>
              <w:t>2.42g/cm3</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sz w:val="24"/>
                <w:szCs w:val="24"/>
                <w:vertAlign w:val="baseline"/>
                <w:lang w:val="en-US" w:eastAsia="zh-CN"/>
              </w:rPr>
            </w:pPr>
            <w:r>
              <w:rPr>
                <w:b/>
                <w:bCs/>
                <w:spacing w:val="-6"/>
              </w:rPr>
              <w:t>熔点</w:t>
            </w:r>
            <w:r>
              <w:rPr>
                <w:rFonts w:hint="eastAsia"/>
                <w:b/>
                <w:bCs/>
                <w:spacing w:val="-6"/>
              </w:rPr>
              <w:t>Melting point</w:t>
            </w:r>
          </w:p>
        </w:tc>
        <w:tc>
          <w:tcPr>
            <w:tcW w:w="6010" w:type="dxa"/>
            <w:vAlign w:val="center"/>
          </w:tcPr>
          <w:p w14:paraId="5CABDE9A">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6"/>
                <w:lang w:val="en-US" w:eastAsia="zh-CN"/>
              </w:rPr>
              <w:t>300</w:t>
            </w:r>
            <w:r>
              <w:rPr>
                <w:spacing w:val="-6"/>
              </w:rPr>
              <w:t>℃</w:t>
            </w:r>
          </w:p>
        </w:tc>
      </w:tr>
    </w:tbl>
    <w:p w14:paraId="46C76AD1">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45A1258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45834D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333333"/>
          <w:spacing w:val="0"/>
          <w:kern w:val="2"/>
          <w:sz w:val="24"/>
          <w:szCs w:val="24"/>
          <w:shd w:val="clear" w:fill="FFFFFF"/>
          <w:lang w:val="en-US" w:eastAsia="en-US" w:bidi="ar-SA"/>
        </w:rPr>
        <w:t>稳定性：</w:t>
      </w:r>
      <w:r>
        <w:rPr>
          <w:rFonts w:hint="eastAsia" w:ascii="宋体" w:hAnsi="宋体" w:eastAsia="宋体" w:cs="宋体"/>
          <w:i w:val="0"/>
          <w:iCs w:val="0"/>
          <w:caps w:val="0"/>
          <w:color w:val="auto"/>
          <w:spacing w:val="0"/>
          <w:sz w:val="24"/>
          <w:szCs w:val="24"/>
          <w:shd w:val="clear" w:fill="FFFFFF"/>
        </w:rPr>
        <w:t>一般情况下稳定。</w:t>
      </w:r>
    </w:p>
    <w:p w14:paraId="7E62FF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Stability:</w:t>
      </w:r>
      <w:r>
        <w:rPr>
          <w:rFonts w:hint="eastAsia" w:ascii="宋体" w:hAnsi="宋体" w:eastAsia="宋体" w:cs="宋体"/>
          <w:i w:val="0"/>
          <w:iCs w:val="0"/>
          <w:caps w:val="0"/>
          <w:color w:val="auto"/>
          <w:spacing w:val="0"/>
          <w:sz w:val="24"/>
          <w:szCs w:val="24"/>
          <w:shd w:val="clear" w:fill="FFFFFF"/>
        </w:rPr>
        <w:t xml:space="preserve"> Generally stable.</w:t>
      </w:r>
    </w:p>
    <w:p w14:paraId="249DA20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fill="FFFFFF"/>
          <w:lang w:val="en-US" w:eastAsia="zh-CN"/>
        </w:rPr>
        <w:t>特殊情况：</w:t>
      </w:r>
      <w:r>
        <w:rPr>
          <w:rFonts w:hint="eastAsia" w:ascii="宋体" w:hAnsi="宋体" w:eastAsia="宋体" w:cs="宋体"/>
          <w:color w:val="auto"/>
          <w:sz w:val="24"/>
          <w:szCs w:val="24"/>
        </w:rPr>
        <w:t>将氢气化铝加热至 200℃以上，会有水蒸汽急速释出。此时须驱散水蒸汽及降低其产生之压力，急速增 加的压力会导致设备受损甚至爆炸。</w:t>
      </w:r>
    </w:p>
    <w:p w14:paraId="6DA2236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 xml:space="preserve">Special case: </w:t>
      </w:r>
      <w:r>
        <w:rPr>
          <w:rFonts w:hint="eastAsia" w:ascii="宋体" w:hAnsi="宋体" w:eastAsia="宋体" w:cs="宋体"/>
          <w:color w:val="auto"/>
          <w:sz w:val="24"/>
          <w:szCs w:val="24"/>
        </w:rPr>
        <w:t>When aluminum hydride is heated to above 200℃, water vapor will be released rapidly. At this time, the water vapor must be dispersed and the pressure generated must be reduced. Rapidly increasing pressure may cause damage to the equipment or even explosion.</w:t>
      </w:r>
    </w:p>
    <w:p w14:paraId="1C5B0D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11"/>
          <w:kern w:val="2"/>
          <w:sz w:val="24"/>
          <w:szCs w:val="24"/>
          <w:lang w:val="en-US" w:eastAsia="zh-CN" w:bidi="ar-SA"/>
        </w:rPr>
        <w:t xml:space="preserve">禁配物: </w:t>
      </w:r>
      <w:r>
        <w:rPr>
          <w:rFonts w:ascii="宋体" w:hAnsi="宋体" w:eastAsia="宋体" w:cs="宋体"/>
          <w:color w:val="auto"/>
          <w:sz w:val="24"/>
          <w:szCs w:val="24"/>
        </w:rPr>
        <w:t>强酸</w:t>
      </w:r>
    </w:p>
    <w:p w14:paraId="246475E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b w:val="0"/>
          <w:bCs w:val="0"/>
          <w:color w:val="auto"/>
          <w:kern w:val="2"/>
          <w:sz w:val="24"/>
          <w:szCs w:val="24"/>
          <w:lang w:val="en-US" w:eastAsia="en-US" w:bidi="ar-SA"/>
        </w:rPr>
      </w:pPr>
      <w:r>
        <w:rPr>
          <w:rFonts w:hint="eastAsia" w:ascii="宋体" w:hAnsi="宋体" w:eastAsia="宋体" w:cs="宋体"/>
          <w:b/>
          <w:bCs/>
          <w:color w:val="auto"/>
          <w:kern w:val="2"/>
          <w:sz w:val="24"/>
          <w:szCs w:val="24"/>
          <w:lang w:val="en-US" w:eastAsia="en-US" w:bidi="ar-SA"/>
        </w:rPr>
        <w:t xml:space="preserve">Incompatible materials: </w:t>
      </w:r>
      <w:r>
        <w:rPr>
          <w:rFonts w:hint="eastAsia" w:ascii="宋体" w:hAnsi="宋体" w:eastAsia="宋体" w:cs="宋体"/>
          <w:b w:val="0"/>
          <w:bCs w:val="0"/>
          <w:color w:val="auto"/>
          <w:kern w:val="2"/>
          <w:sz w:val="24"/>
          <w:szCs w:val="24"/>
          <w:lang w:val="en-US" w:eastAsia="en-US" w:bidi="ar-SA"/>
        </w:rPr>
        <w:t>Strong acids.</w:t>
      </w:r>
    </w:p>
    <w:p w14:paraId="1ADDAB2A">
      <w:pPr>
        <w:numPr>
          <w:ilvl w:val="0"/>
          <w:numId w:val="0"/>
        </w:numPr>
        <w:ind w:leftChars="114"/>
        <w:jc w:val="left"/>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w:t>
      </w: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Toxicology Information</w:t>
      </w:r>
    </w:p>
    <w:p w14:paraId="28023166">
      <w:pPr>
        <w:pStyle w:val="10"/>
        <w:spacing w:before="78" w:line="239" w:lineRule="auto"/>
        <w:ind w:left="463"/>
        <w:rPr>
          <w:rFonts w:hint="eastAsia"/>
          <w:color w:val="auto"/>
          <w:spacing w:val="-26"/>
          <w:w w:val="97"/>
          <w:lang w:val="en-US" w:eastAsia="zh-CN"/>
        </w:rPr>
      </w:pPr>
    </w:p>
    <w:p w14:paraId="786E2E37">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ascii="宋体" w:hAnsi="宋体" w:eastAsia="宋体" w:cs="宋体"/>
          <w:color w:val="auto"/>
          <w:sz w:val="24"/>
          <w:szCs w:val="24"/>
        </w:rPr>
      </w:pPr>
      <w:r>
        <w:rPr>
          <w:rFonts w:hint="eastAsia" w:ascii="宋体" w:hAnsi="宋体" w:eastAsia="宋体" w:cs="宋体"/>
          <w:b/>
          <w:bCs/>
          <w:i w:val="0"/>
          <w:iCs w:val="0"/>
          <w:caps w:val="0"/>
          <w:color w:val="auto"/>
          <w:spacing w:val="0"/>
          <w:sz w:val="24"/>
          <w:szCs w:val="24"/>
          <w:shd w:val="clear" w:fill="FFFFFF"/>
        </w:rPr>
        <w:t>急性毒性：</w:t>
      </w:r>
      <w:r>
        <w:rPr>
          <w:rFonts w:ascii="宋体" w:hAnsi="宋体" w:eastAsia="宋体" w:cs="宋体"/>
          <w:color w:val="auto"/>
          <w:sz w:val="24"/>
          <w:szCs w:val="24"/>
        </w:rPr>
        <w:t>：LD50 经口 - 大鼠 - 雌性 - &gt; 2,000 mg/kg</w:t>
      </w:r>
    </w:p>
    <w:p w14:paraId="5F6FB497">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val="0"/>
          <w:bCs w:val="0"/>
          <w:sz w:val="24"/>
          <w:szCs w:val="24"/>
          <w:lang w:val="en-US" w:eastAsia="zh-CN"/>
        </w:rPr>
      </w:pPr>
      <w:r>
        <w:rPr>
          <w:rFonts w:hint="eastAsia" w:ascii="宋体" w:hAnsi="宋体" w:eastAsia="宋体" w:cs="宋体"/>
          <w:b/>
          <w:bCs/>
          <w:color w:val="auto"/>
          <w:sz w:val="24"/>
          <w:szCs w:val="24"/>
        </w:rPr>
        <w:t>Acute toxicity:</w:t>
      </w:r>
      <w:r>
        <w:rPr>
          <w:rFonts w:hint="eastAsia" w:cs="宋体"/>
          <w:b/>
          <w:bCs/>
          <w:color w:val="auto"/>
          <w:sz w:val="24"/>
          <w:szCs w:val="24"/>
          <w:lang w:val="en-US" w:eastAsia="zh-CN"/>
        </w:rPr>
        <w:t xml:space="preserve"> </w:t>
      </w:r>
      <w:r>
        <w:rPr>
          <w:rFonts w:hint="eastAsia" w:cs="宋体"/>
          <w:b w:val="0"/>
          <w:bCs w:val="0"/>
          <w:color w:val="auto"/>
          <w:sz w:val="24"/>
          <w:szCs w:val="24"/>
          <w:lang w:val="en-US" w:eastAsia="zh-CN"/>
        </w:rPr>
        <w:t xml:space="preserve">LD50 Oral - Rat - Female - &gt; </w:t>
      </w:r>
      <w:r>
        <w:rPr>
          <w:rFonts w:hint="eastAsia" w:cs="宋体"/>
          <w:b w:val="0"/>
          <w:bCs w:val="0"/>
          <w:sz w:val="24"/>
          <w:szCs w:val="24"/>
          <w:lang w:val="en-US" w:eastAsia="zh-CN"/>
        </w:rPr>
        <w:t>2,000 mg/kg</w:t>
      </w:r>
    </w:p>
    <w:p w14:paraId="4CF70F3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kern w:val="2"/>
          <w:sz w:val="30"/>
          <w:szCs w:val="30"/>
          <w:lang w:val="en-US" w:eastAsia="zh-CN" w:bidi="ar-SA"/>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kern w:val="2"/>
          <w:sz w:val="30"/>
          <w:szCs w:val="30"/>
          <w:lang w:val="en-US" w:eastAsia="zh-CN" w:bidi="ar-SA"/>
        </w:rPr>
        <w:t>12.</w:t>
      </w:r>
      <w:r>
        <w:rPr>
          <w:rFonts w:hint="eastAsia" w:ascii="Times New Roman" w:hAnsi="Times New Roman" w:eastAsia="宋体" w:cs="宋体"/>
          <w:b/>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Ecological information</w:t>
      </w:r>
    </w:p>
    <w:p w14:paraId="78471FB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1E96618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sz w:val="24"/>
          <w:szCs w:val="24"/>
          <w:lang w:val="en-US" w:eastAsia="zh-CN"/>
        </w:rPr>
      </w:pPr>
      <w:r>
        <w:rPr>
          <w:rFonts w:hint="eastAsia" w:ascii="宋体" w:hAnsi="宋体" w:eastAsia="宋体" w:cs="宋体"/>
          <w:b/>
          <w:bCs/>
          <w:spacing w:val="-10"/>
          <w:sz w:val="24"/>
          <w:szCs w:val="24"/>
          <w:lang w:val="en-US" w:eastAsia="zh-CN"/>
        </w:rPr>
        <w:t>生态毒性：</w:t>
      </w:r>
      <w:r>
        <w:rPr>
          <w:rFonts w:hint="eastAsia" w:ascii="宋体" w:hAnsi="宋体" w:eastAsia="宋体" w:cs="宋体"/>
          <w:sz w:val="24"/>
          <w:szCs w:val="24"/>
          <w:lang w:val="en-US" w:eastAsia="zh-CN"/>
        </w:rPr>
        <w:t>无数据资料</w:t>
      </w:r>
    </w:p>
    <w:p w14:paraId="305CB4F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Ecotoxicity:</w:t>
      </w:r>
      <w:r>
        <w:rPr>
          <w:rFonts w:hint="eastAsia" w:ascii="宋体" w:hAnsi="宋体" w:eastAsia="宋体" w:cs="宋体"/>
          <w:sz w:val="24"/>
          <w:szCs w:val="24"/>
          <w:lang w:val="en-US" w:eastAsia="zh-CN"/>
        </w:rPr>
        <w:t xml:space="preserve"> No data available</w:t>
      </w:r>
    </w:p>
    <w:p w14:paraId="17810CB3">
      <w:pPr>
        <w:numPr>
          <w:ilvl w:val="0"/>
          <w:numId w:val="0"/>
        </w:numPr>
        <w:ind w:leftChars="114"/>
        <w:jc w:val="left"/>
        <w:rPr>
          <w:rFonts w:hint="default" w:ascii="宋体" w:hAnsi="宋体" w:eastAsia="宋体" w:cs="宋体"/>
          <w:b/>
          <w:bCs/>
          <w:spacing w:val="-10"/>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Calibri"/>
          <w:b/>
          <w:sz w:val="30"/>
          <w:szCs w:val="30"/>
        </w:rPr>
        <w:t>Waste disposal</w:t>
      </w:r>
    </w:p>
    <w:p w14:paraId="6F18CD07">
      <w:pPr>
        <w:pStyle w:val="10"/>
        <w:spacing w:before="79" w:line="239" w:lineRule="auto"/>
        <w:ind w:left="463"/>
        <w:rPr>
          <w:spacing w:val="-10"/>
        </w:rPr>
      </w:pPr>
    </w:p>
    <w:p w14:paraId="066681FE">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b/>
          <w:bCs/>
          <w:spacing w:val="-10"/>
        </w:rPr>
        <w:t>废弃处置方法：</w:t>
      </w:r>
      <w:r>
        <w:rPr>
          <w:rFonts w:hint="eastAsia" w:ascii="宋体" w:hAnsi="宋体" w:eastAsia="宋体" w:cs="宋体"/>
          <w:sz w:val="24"/>
          <w:szCs w:val="24"/>
        </w:rPr>
        <w:t>产品废弃物：假如无法重复使用或是回收，可丢弃于垃圾掩埋处理场。包装材料废弃物：建议根据当地或政府的法定规定丢弃。</w:t>
      </w:r>
    </w:p>
    <w:p w14:paraId="330388B5">
      <w:pPr>
        <w:pStyle w:val="10"/>
        <w:keepNext w:val="0"/>
        <w:keepLines w:val="0"/>
        <w:pageBreakBefore w:val="0"/>
        <w:widowControl w:val="0"/>
        <w:kinsoku/>
        <w:wordWrap/>
        <w:overflowPunct/>
        <w:topLinePunct w:val="0"/>
        <w:autoSpaceDE/>
        <w:autoSpaceDN/>
        <w:bidi w:val="0"/>
        <w:adjustRightInd/>
        <w:snapToGrid/>
        <w:spacing w:before="79" w:line="360" w:lineRule="exact"/>
        <w:ind w:left="479" w:leftChars="228" w:firstLine="0" w:firstLineChars="0"/>
        <w:textAlignment w:val="auto"/>
        <w:rPr>
          <w:rFonts w:hint="eastAsia" w:ascii="宋体" w:hAnsi="宋体" w:eastAsia="宋体" w:cs="宋体"/>
          <w:sz w:val="24"/>
          <w:szCs w:val="24"/>
        </w:rPr>
      </w:pPr>
      <w:r>
        <w:rPr>
          <w:rFonts w:hint="eastAsia" w:ascii="宋体" w:hAnsi="宋体" w:eastAsia="宋体" w:cs="宋体"/>
          <w:b/>
          <w:bCs/>
          <w:sz w:val="24"/>
          <w:szCs w:val="24"/>
        </w:rPr>
        <w:t>Waste disposal method:</w:t>
      </w:r>
      <w:r>
        <w:rPr>
          <w:rFonts w:hint="eastAsia" w:ascii="宋体" w:hAnsi="宋体" w:eastAsia="宋体" w:cs="宋体"/>
          <w:sz w:val="24"/>
          <w:szCs w:val="24"/>
        </w:rPr>
        <w:t xml:space="preserve"> Product waste: If it cannot be reused or recycled, it can be disposed of in a landfill.Packaging material waste: It is recommended to dispose of it according to local or government regulations.</w:t>
      </w:r>
    </w:p>
    <w:p w14:paraId="6D854663">
      <w:pPr>
        <w:pStyle w:val="10"/>
        <w:spacing w:before="79" w:line="239" w:lineRule="auto"/>
        <w:ind w:left="463"/>
        <w:rPr>
          <w:rFonts w:hint="eastAsia" w:ascii="宋体" w:hAnsi="宋体" w:eastAsia="宋体" w:cs="宋体"/>
          <w:sz w:val="24"/>
          <w:szCs w:val="24"/>
        </w:rPr>
      </w:pPr>
    </w:p>
    <w:p w14:paraId="51DA19C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14.运输信息</w:t>
      </w:r>
    </w:p>
    <w:p w14:paraId="2A4605C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Transport information</w:t>
      </w:r>
    </w:p>
    <w:p w14:paraId="70D65C38">
      <w:pPr>
        <w:pStyle w:val="10"/>
        <w:spacing w:before="79" w:line="239" w:lineRule="auto"/>
        <w:ind w:left="463"/>
        <w:rPr>
          <w:rFonts w:ascii="宋体" w:hAnsi="宋体" w:eastAsia="宋体" w:cs="宋体"/>
          <w:sz w:val="24"/>
          <w:szCs w:val="24"/>
        </w:rPr>
      </w:pPr>
    </w:p>
    <w:p w14:paraId="14C43974">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b w:val="0"/>
          <w:bCs/>
          <w:sz w:val="24"/>
          <w:szCs w:val="24"/>
          <w:lang w:val="en-US" w:eastAsia="zh-CN"/>
        </w:rPr>
      </w:pPr>
      <w:r>
        <w:rPr>
          <w:rFonts w:ascii="宋体" w:hAnsi="宋体" w:eastAsia="宋体" w:cs="宋体"/>
          <w:b/>
          <w:bCs/>
          <w:sz w:val="24"/>
          <w:szCs w:val="24"/>
        </w:rPr>
        <w:t>运输品名：</w:t>
      </w:r>
      <w:r>
        <w:rPr>
          <w:rFonts w:hint="eastAsia" w:cs="宋体"/>
          <w:b w:val="0"/>
          <w:bCs/>
          <w:sz w:val="24"/>
          <w:szCs w:val="24"/>
          <w:lang w:val="en-US" w:eastAsia="zh-CN"/>
        </w:rPr>
        <w:t>氢氧化铝</w:t>
      </w:r>
    </w:p>
    <w:p w14:paraId="391F0CDA">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Transport name:</w:t>
      </w:r>
      <w:r>
        <w:rPr>
          <w:rFonts w:hint="eastAsia" w:ascii="宋体" w:hAnsi="宋体" w:eastAsia="宋体" w:cs="宋体"/>
          <w:sz w:val="24"/>
          <w:szCs w:val="24"/>
        </w:rPr>
        <w:t xml:space="preserve"> </w:t>
      </w:r>
      <w:r>
        <w:rPr>
          <w:rFonts w:ascii="宋体" w:hAnsi="宋体" w:eastAsia="宋体" w:cs="宋体"/>
          <w:sz w:val="24"/>
          <w:szCs w:val="24"/>
        </w:rPr>
        <w:t xml:space="preserve">Aluminium </w:t>
      </w:r>
      <w:r>
        <w:rPr>
          <w:rFonts w:hint="eastAsia" w:ascii="宋体" w:hAnsi="宋体" w:eastAsia="宋体" w:cs="宋体"/>
          <w:sz w:val="24"/>
          <w:szCs w:val="24"/>
          <w:lang w:val="en-US" w:eastAsia="zh-CN"/>
        </w:rPr>
        <w:t>H</w:t>
      </w:r>
      <w:r>
        <w:rPr>
          <w:rFonts w:ascii="宋体" w:hAnsi="宋体" w:eastAsia="宋体" w:cs="宋体"/>
          <w:sz w:val="24"/>
          <w:szCs w:val="24"/>
        </w:rPr>
        <w:t>ydroxide</w:t>
      </w:r>
    </w:p>
    <w:p w14:paraId="143695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ascii="宋体" w:hAnsi="宋体" w:eastAsia="宋体" w:cs="宋体"/>
          <w:b/>
          <w:bCs/>
          <w:sz w:val="24"/>
          <w:szCs w:val="24"/>
        </w:rPr>
        <w:t>危险品分类：</w:t>
      </w:r>
      <w:r>
        <w:rPr>
          <w:rFonts w:hint="eastAsia" w:cs="宋体"/>
          <w:b w:val="0"/>
          <w:bCs w:val="0"/>
          <w:sz w:val="24"/>
          <w:szCs w:val="24"/>
          <w:lang w:val="en-US" w:eastAsia="zh-CN"/>
        </w:rPr>
        <w:t>普货</w:t>
      </w:r>
    </w:p>
    <w:p w14:paraId="2B01CBA3">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Dangerous goods classification:</w:t>
      </w:r>
      <w:r>
        <w:rPr>
          <w:rFonts w:hint="eastAsia" w:ascii="宋体" w:hAnsi="宋体" w:eastAsia="宋体" w:cs="宋体"/>
          <w:sz w:val="24"/>
          <w:szCs w:val="24"/>
        </w:rPr>
        <w:t xml:space="preserve"> General goods.</w:t>
      </w:r>
    </w:p>
    <w:p w14:paraId="4619ECE2">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ascii="宋体" w:hAnsi="宋体" w:eastAsia="宋体" w:cs="宋体"/>
          <w:b/>
          <w:bCs/>
          <w:sz w:val="24"/>
          <w:szCs w:val="24"/>
        </w:rPr>
        <w:t>运输注意事项：</w:t>
      </w:r>
      <w:r>
        <w:rPr>
          <w:rFonts w:ascii="宋体" w:hAnsi="宋体" w:eastAsia="宋体" w:cs="宋体"/>
          <w:sz w:val="24"/>
          <w:szCs w:val="24"/>
        </w:rPr>
        <w:t>储存于阴凉、通风仓间内。远离火种、热源。保持容器密封，应与氧化剂、食用化 工原料分开存放。搬运时要轻装轻卸，防止包装及容器损坏。分装和搬运作业要注意个人防护</w:t>
      </w:r>
      <w:r>
        <w:rPr>
          <w:rFonts w:hint="eastAsia" w:cs="宋体"/>
          <w:sz w:val="24"/>
          <w:szCs w:val="24"/>
          <w:lang w:eastAsia="zh-CN"/>
        </w:rPr>
        <w:t>。</w:t>
      </w:r>
    </w:p>
    <w:p w14:paraId="75422E9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hint="eastAsia" w:cs="宋体"/>
          <w:b/>
          <w:bCs/>
          <w:sz w:val="24"/>
          <w:szCs w:val="24"/>
          <w:lang w:eastAsia="zh-CN"/>
        </w:rPr>
        <w:t xml:space="preserve">Transport precautions: </w:t>
      </w:r>
      <w:r>
        <w:rPr>
          <w:rFonts w:hint="eastAsia" w:cs="宋体"/>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10"/>
        <w:spacing w:before="79" w:line="239" w:lineRule="auto"/>
        <w:ind w:left="463"/>
        <w:rPr>
          <w:rFonts w:hint="eastAsia" w:cs="宋体"/>
          <w:sz w:val="24"/>
          <w:szCs w:val="24"/>
          <w:lang w:eastAsia="zh-CN"/>
        </w:rPr>
      </w:pPr>
    </w:p>
    <w:p w14:paraId="3EF69E80">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15.法规信息</w:t>
      </w:r>
    </w:p>
    <w:p w14:paraId="1515208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Regulatory Information</w:t>
      </w:r>
    </w:p>
    <w:p w14:paraId="142B8CA7">
      <w:pPr>
        <w:pStyle w:val="10"/>
        <w:spacing w:before="79" w:line="239" w:lineRule="auto"/>
        <w:ind w:left="463"/>
        <w:rPr>
          <w:rFonts w:ascii="宋体" w:hAnsi="宋体" w:eastAsia="宋体" w:cs="宋体"/>
          <w:sz w:val="24"/>
          <w:szCs w:val="24"/>
        </w:rPr>
      </w:pPr>
    </w:p>
    <w:p w14:paraId="0AC3E542">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cs="宋体"/>
          <w:b/>
          <w:bCs/>
          <w:sz w:val="24"/>
          <w:szCs w:val="24"/>
          <w:lang w:val="en-US" w:eastAsia="zh-CN"/>
        </w:rPr>
        <w:t>适用法规</w:t>
      </w:r>
      <w:r>
        <w:rPr>
          <w:rFonts w:ascii="宋体" w:hAnsi="宋体" w:eastAsia="宋体" w:cs="宋体"/>
          <w:b/>
          <w:bCs/>
          <w:sz w:val="24"/>
          <w:szCs w:val="24"/>
        </w:rPr>
        <w:t>：</w:t>
      </w:r>
      <w:r>
        <w:rPr>
          <w:rFonts w:hint="eastAsia" w:ascii="宋体" w:hAnsi="宋体" w:eastAsia="宋体" w:cs="宋体"/>
          <w:sz w:val="24"/>
          <w:szCs w:val="24"/>
        </w:rPr>
        <w:t>职业安全卫生法</w:t>
      </w:r>
    </w:p>
    <w:p w14:paraId="06AD129F">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ascii="宋体" w:hAnsi="宋体" w:eastAsia="宋体" w:cs="宋体"/>
          <w:sz w:val="24"/>
          <w:szCs w:val="24"/>
        </w:rPr>
        <w:t>事业废弃物贮存清除处理方法及设施标准</w:t>
      </w:r>
    </w:p>
    <w:p w14:paraId="5D07B02A">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bCs/>
          <w:sz w:val="24"/>
          <w:szCs w:val="24"/>
        </w:rPr>
        <w:t>Applicable regulations:</w:t>
      </w:r>
      <w:r>
        <w:rPr>
          <w:rFonts w:hint="eastAsia" w:ascii="宋体" w:hAnsi="宋体" w:eastAsia="宋体" w:cs="宋体"/>
          <w:b w:val="0"/>
          <w:bCs w:val="0"/>
          <w:sz w:val="24"/>
          <w:szCs w:val="24"/>
        </w:rPr>
        <w:t xml:space="preserve"> Occupational Safety and Health Law</w:t>
      </w:r>
    </w:p>
    <w:p w14:paraId="2C91D96D">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Methods and facility standards for storage, removal and treatment of industrial waste</w:t>
      </w:r>
    </w:p>
    <w:p w14:paraId="3FF2F6F1">
      <w:pPr>
        <w:pStyle w:val="10"/>
        <w:spacing w:before="79" w:line="239" w:lineRule="auto"/>
        <w:ind w:left="463"/>
        <w:rPr>
          <w:rFonts w:hint="eastAsia" w:ascii="宋体" w:hAnsi="宋体" w:eastAsia="宋体" w:cs="宋体"/>
          <w:b w:val="0"/>
          <w:bCs w:val="0"/>
          <w:sz w:val="24"/>
          <w:szCs w:val="24"/>
        </w:rPr>
      </w:pPr>
    </w:p>
    <w:p w14:paraId="669747BE">
      <w:pPr>
        <w:pStyle w:val="10"/>
        <w:keepNext w:val="0"/>
        <w:keepLines w:val="0"/>
        <w:pageBreakBefore w:val="0"/>
        <w:widowControl w:val="0"/>
        <w:numPr>
          <w:ilvl w:val="0"/>
          <w:numId w:val="2"/>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其他信息</w:t>
      </w:r>
    </w:p>
    <w:p w14:paraId="320B6BE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71EBA3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abstractNum w:abstractNumId="1">
    <w:nsid w:val="888C5242"/>
    <w:multiLevelType w:val="singleLevel"/>
    <w:tmpl w:val="888C5242"/>
    <w:lvl w:ilvl="0" w:tentative="0">
      <w:start w:val="1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217AD1"/>
    <w:rsid w:val="03F84EDA"/>
    <w:rsid w:val="042067D1"/>
    <w:rsid w:val="05453FE3"/>
    <w:rsid w:val="0547212C"/>
    <w:rsid w:val="08AA23AF"/>
    <w:rsid w:val="0902043D"/>
    <w:rsid w:val="0B7C44D7"/>
    <w:rsid w:val="0BD95485"/>
    <w:rsid w:val="0E8C2C83"/>
    <w:rsid w:val="0EE35C69"/>
    <w:rsid w:val="13225964"/>
    <w:rsid w:val="13E946D3"/>
    <w:rsid w:val="1562473D"/>
    <w:rsid w:val="16414353"/>
    <w:rsid w:val="16557DFE"/>
    <w:rsid w:val="17EE050A"/>
    <w:rsid w:val="18A13E9F"/>
    <w:rsid w:val="1AA72BF2"/>
    <w:rsid w:val="1CCE4679"/>
    <w:rsid w:val="1DA67266"/>
    <w:rsid w:val="1F240CB5"/>
    <w:rsid w:val="20682008"/>
    <w:rsid w:val="20A025BE"/>
    <w:rsid w:val="20A53008"/>
    <w:rsid w:val="20DB76DB"/>
    <w:rsid w:val="22FF6C13"/>
    <w:rsid w:val="241E74DB"/>
    <w:rsid w:val="285E2CF4"/>
    <w:rsid w:val="28CD3965"/>
    <w:rsid w:val="2953641F"/>
    <w:rsid w:val="299F1664"/>
    <w:rsid w:val="29CB58F0"/>
    <w:rsid w:val="2CC31B0E"/>
    <w:rsid w:val="30D53BBD"/>
    <w:rsid w:val="35847960"/>
    <w:rsid w:val="35CE6C16"/>
    <w:rsid w:val="364D0368"/>
    <w:rsid w:val="37E62B54"/>
    <w:rsid w:val="39C66799"/>
    <w:rsid w:val="3E8A248B"/>
    <w:rsid w:val="3EAF1EF2"/>
    <w:rsid w:val="3F23643C"/>
    <w:rsid w:val="3FA64F02"/>
    <w:rsid w:val="40EB51F7"/>
    <w:rsid w:val="421A1E01"/>
    <w:rsid w:val="42E65177"/>
    <w:rsid w:val="437D25BE"/>
    <w:rsid w:val="43F9776B"/>
    <w:rsid w:val="44024872"/>
    <w:rsid w:val="44931E77"/>
    <w:rsid w:val="457A0434"/>
    <w:rsid w:val="466130BB"/>
    <w:rsid w:val="467B1EBE"/>
    <w:rsid w:val="46BC1F75"/>
    <w:rsid w:val="4F7D3946"/>
    <w:rsid w:val="4FCD40E3"/>
    <w:rsid w:val="504539D1"/>
    <w:rsid w:val="515A36AA"/>
    <w:rsid w:val="52642B9B"/>
    <w:rsid w:val="52E53CDC"/>
    <w:rsid w:val="53446C55"/>
    <w:rsid w:val="53A61294"/>
    <w:rsid w:val="55284354"/>
    <w:rsid w:val="55C05B3D"/>
    <w:rsid w:val="57BE4AFC"/>
    <w:rsid w:val="59747B68"/>
    <w:rsid w:val="5BF572B0"/>
    <w:rsid w:val="5C7A7259"/>
    <w:rsid w:val="5D355860"/>
    <w:rsid w:val="5DB02381"/>
    <w:rsid w:val="61D37ED8"/>
    <w:rsid w:val="62307E89"/>
    <w:rsid w:val="63E33011"/>
    <w:rsid w:val="670B213A"/>
    <w:rsid w:val="68FC78FB"/>
    <w:rsid w:val="6EF235B1"/>
    <w:rsid w:val="6F0155FA"/>
    <w:rsid w:val="705C48E6"/>
    <w:rsid w:val="70AB3A18"/>
    <w:rsid w:val="716B0C86"/>
    <w:rsid w:val="72864FA0"/>
    <w:rsid w:val="77AB6D12"/>
    <w:rsid w:val="77D601B0"/>
    <w:rsid w:val="787943FB"/>
    <w:rsid w:val="797B6EE2"/>
    <w:rsid w:val="79CA5398"/>
    <w:rsid w:val="7A04063C"/>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Table Text"/>
    <w:basedOn w:val="1"/>
    <w:semiHidden/>
    <w:qFormat/>
    <w:uiPriority w:val="0"/>
    <w:rPr>
      <w:rFonts w:ascii="宋体" w:hAnsi="宋体" w:eastAsia="宋体" w:cs="宋体"/>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1959</Words>
  <Characters>5666</Characters>
  <Lines>0</Lines>
  <Paragraphs>0</Paragraphs>
  <TotalTime>8</TotalTime>
  <ScaleCrop>false</ScaleCrop>
  <LinksUpToDate>false</LinksUpToDate>
  <CharactersWithSpaces>11118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2024-09-11T08:59:47Z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06534F83DC634DC78EA79E88AD190D64_11</vt:lpwstr>
  </property>
</Properties>
</file>