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67BB762">
      <w:pPr>
        <w:keepNext w:val="0"/>
        <w:keepLines w:val="0"/>
        <w:pageBreakBefore w:val="0"/>
        <w:widowControl w:val="0"/>
        <w:kinsoku/>
        <w:wordWrap/>
        <w:overflowPunct/>
        <w:topLinePunct w:val="0"/>
        <w:autoSpaceDE/>
        <w:autoSpaceDN/>
        <w:bidi w:val="0"/>
        <w:adjustRightInd/>
        <w:snapToGrid/>
        <w:spacing w:before="300"/>
        <w:jc w:val="center"/>
        <w:textAlignment w:val="auto"/>
        <w:rPr>
          <w:rFonts w:hint="default"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氧化铟锡</w:t>
      </w:r>
    </w:p>
    <w:p w14:paraId="1FA44BB9">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b/>
          <w:bCs/>
          <w:sz w:val="44"/>
          <w:szCs w:val="44"/>
        </w:rPr>
      </w:pPr>
      <w:r>
        <w:rPr>
          <w:rFonts w:ascii="宋体" w:hAnsi="宋体" w:eastAsia="宋体" w:cs="宋体"/>
          <w:b/>
          <w:bCs/>
          <w:sz w:val="44"/>
          <w:szCs w:val="44"/>
        </w:rPr>
        <w:t xml:space="preserve">Indium </w:t>
      </w:r>
      <w:r>
        <w:rPr>
          <w:rFonts w:hint="eastAsia" w:ascii="宋体" w:hAnsi="宋体" w:eastAsia="宋体" w:cs="宋体"/>
          <w:b/>
          <w:bCs/>
          <w:sz w:val="44"/>
          <w:szCs w:val="44"/>
          <w:lang w:val="en-US" w:eastAsia="zh-CN"/>
        </w:rPr>
        <w:t>T</w:t>
      </w:r>
      <w:r>
        <w:rPr>
          <w:rFonts w:ascii="宋体" w:hAnsi="宋体" w:eastAsia="宋体" w:cs="宋体"/>
          <w:b/>
          <w:bCs/>
          <w:sz w:val="44"/>
          <w:szCs w:val="44"/>
        </w:rPr>
        <w:t xml:space="preserve">in </w:t>
      </w:r>
      <w:r>
        <w:rPr>
          <w:rFonts w:hint="eastAsia" w:ascii="宋体" w:hAnsi="宋体" w:eastAsia="宋体" w:cs="宋体"/>
          <w:b/>
          <w:bCs/>
          <w:sz w:val="44"/>
          <w:szCs w:val="44"/>
          <w:lang w:val="en-US" w:eastAsia="zh-CN"/>
        </w:rPr>
        <w:t>O</w:t>
      </w:r>
      <w:r>
        <w:rPr>
          <w:rFonts w:ascii="宋体" w:hAnsi="宋体" w:eastAsia="宋体" w:cs="宋体"/>
          <w:b/>
          <w:bCs/>
          <w:sz w:val="44"/>
          <w:szCs w:val="44"/>
        </w:rPr>
        <w:t>xide</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64368D2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bCs w:val="0"/>
          <w:sz w:val="24"/>
          <w:szCs w:val="24"/>
          <w:lang w:val="en-US" w:eastAsia="zh-CN"/>
        </w:rPr>
        <w:t>氧化铟锡</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Indium </w:t>
      </w:r>
      <w:r>
        <w:rPr>
          <w:rFonts w:hint="eastAsia" w:ascii="宋体" w:hAnsi="宋体" w:eastAsia="宋体" w:cs="宋体"/>
          <w:sz w:val="24"/>
          <w:szCs w:val="24"/>
          <w:lang w:val="en-US" w:eastAsia="zh-CN"/>
        </w:rPr>
        <w:t>T</w:t>
      </w:r>
      <w:r>
        <w:rPr>
          <w:rFonts w:ascii="宋体" w:hAnsi="宋体" w:eastAsia="宋体" w:cs="宋体"/>
          <w:sz w:val="24"/>
          <w:szCs w:val="24"/>
        </w:rPr>
        <w:t xml:space="preserve">in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3E98F2BD">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 xml:space="preserve">Indium </w:t>
      </w:r>
      <w:r>
        <w:rPr>
          <w:rFonts w:hint="eastAsia" w:ascii="宋体" w:hAnsi="宋体" w:eastAsia="宋体" w:cs="宋体"/>
          <w:sz w:val="24"/>
          <w:szCs w:val="24"/>
          <w:lang w:val="en-US" w:eastAsia="zh-CN"/>
        </w:rPr>
        <w:t>T</w:t>
      </w:r>
      <w:r>
        <w:rPr>
          <w:rFonts w:ascii="宋体" w:hAnsi="宋体" w:eastAsia="宋体" w:cs="宋体"/>
          <w:sz w:val="24"/>
          <w:szCs w:val="24"/>
        </w:rPr>
        <w:t xml:space="preserve">in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3CCC081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Indium </w:t>
      </w:r>
      <w:r>
        <w:rPr>
          <w:rFonts w:hint="eastAsia" w:ascii="宋体" w:hAnsi="宋体" w:eastAsia="宋体" w:cs="宋体"/>
          <w:sz w:val="24"/>
          <w:szCs w:val="24"/>
          <w:lang w:val="en-US" w:eastAsia="zh-CN"/>
        </w:rPr>
        <w:t>T</w:t>
      </w:r>
      <w:r>
        <w:rPr>
          <w:rFonts w:ascii="宋体" w:hAnsi="宋体" w:eastAsia="宋体" w:cs="宋体"/>
          <w:sz w:val="24"/>
          <w:szCs w:val="24"/>
        </w:rPr>
        <w:t xml:space="preserve">in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7C8C5FB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Theme="minorEastAsia" w:hAnsiTheme="minorEastAsia" w:cstheme="minorEastAsia"/>
          <w:b w:val="0"/>
          <w:bCs/>
          <w:sz w:val="24"/>
          <w:szCs w:val="24"/>
          <w:lang w:val="en-US" w:eastAsia="zh-CN"/>
        </w:rPr>
        <w:t>50926</w:t>
      </w:r>
      <w:r>
        <w:rPr>
          <w:rFonts w:hint="eastAsia" w:asciiTheme="minorEastAsia" w:hAnsiTheme="minorEastAsia" w:eastAsiaTheme="minorEastAsia" w:cstheme="minorEastAsia"/>
          <w:b w:val="0"/>
          <w:bCs/>
          <w:sz w:val="24"/>
          <w:szCs w:val="24"/>
        </w:rPr>
        <w:t>-</w:t>
      </w:r>
      <w:r>
        <w:rPr>
          <w:rFonts w:hint="eastAsia" w:asciiTheme="minorEastAsia" w:hAnsiTheme="minorEastAsia" w:cstheme="minorEastAsia"/>
          <w:b w:val="0"/>
          <w:bCs/>
          <w:sz w:val="24"/>
          <w:szCs w:val="24"/>
          <w:lang w:val="en-US" w:eastAsia="zh-CN"/>
        </w:rPr>
        <w:t>11</w:t>
      </w:r>
      <w:r>
        <w:rPr>
          <w:rFonts w:hint="eastAsia" w:asciiTheme="minorEastAsia" w:hAnsiTheme="minorEastAsia" w:eastAsiaTheme="minorEastAsia" w:cstheme="minorEastAsia"/>
          <w:b w:val="0"/>
          <w:bCs/>
          <w:sz w:val="24"/>
          <w:szCs w:val="24"/>
        </w:rPr>
        <w:t>-</w:t>
      </w:r>
      <w:r>
        <w:rPr>
          <w:rFonts w:hint="eastAsia" w:asciiTheme="minorEastAsia" w:hAnsiTheme="minorEastAsia" w:cstheme="minorEastAsia"/>
          <w:b w:val="0"/>
          <w:bCs/>
          <w:sz w:val="24"/>
          <w:szCs w:val="24"/>
          <w:lang w:val="en-US" w:eastAsia="zh-CN"/>
        </w:rPr>
        <w:t>9</w:t>
      </w:r>
    </w:p>
    <w:p w14:paraId="238501F8">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DXN-INS05，DXN-INS10，DXN-INS05S.</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val="0"/>
          <w:sz w:val="24"/>
          <w:szCs w:val="24"/>
        </w:rPr>
        <w:t>分子式：</w:t>
      </w:r>
      <w:r>
        <w:rPr>
          <w:rFonts w:hint="eastAsia" w:asciiTheme="minorEastAsia" w:hAnsiTheme="minorEastAsia" w:eastAsiaTheme="minorEastAsia" w:cstheme="minorEastAsia"/>
          <w:b w:val="0"/>
          <w:bCs/>
          <w:sz w:val="24"/>
          <w:szCs w:val="24"/>
        </w:rPr>
        <w:t>In2O3-SnO2</w:t>
      </w:r>
    </w:p>
    <w:p w14:paraId="44F8729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b w:val="0"/>
          <w:bCs w:val="0"/>
          <w:sz w:val="24"/>
          <w:szCs w:val="24"/>
          <w:vertAlign w:val="baseline"/>
        </w:rPr>
        <w:t>In2O5Sn</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428.33400</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b w:val="0"/>
          <w:bCs/>
          <w:sz w:val="24"/>
          <w:szCs w:val="24"/>
          <w:lang w:val="en-US" w:eastAsia="zh-CN"/>
        </w:rPr>
        <w:t>428.33400</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eastAsia="宋体" w:cs="宋体"/>
          <w:spacing w:val="-2"/>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2"/>
          <w:szCs w:val="22"/>
          <w:lang w:val="en-US" w:eastAsia="zh-CN"/>
        </w:rPr>
        <w:t xml:space="preserve"> </w:t>
      </w:r>
      <w:r>
        <w:rPr>
          <w:rFonts w:hint="eastAsia" w:ascii="宋体" w:hAnsi="宋体" w:eastAsia="宋体" w:cs="宋体"/>
          <w:b/>
          <w:bCs/>
          <w:spacing w:val="-2"/>
          <w:sz w:val="24"/>
          <w:szCs w:val="24"/>
        </w:rPr>
        <w:t>描述：</w:t>
      </w:r>
      <w:r>
        <w:rPr>
          <w:rFonts w:hint="eastAsia" w:ascii="宋体" w:hAnsi="宋体" w:eastAsia="宋体" w:cs="宋体"/>
          <w:spacing w:val="-2"/>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37" w:firstLineChars="100"/>
        <w:jc w:val="left"/>
        <w:textAlignment w:val="auto"/>
        <w:rPr>
          <w:rFonts w:hint="eastAsia" w:ascii="宋体" w:hAnsi="宋体" w:eastAsia="宋体" w:cs="宋体"/>
          <w:sz w:val="24"/>
          <w:szCs w:val="24"/>
        </w:rPr>
      </w:pPr>
      <w:r>
        <w:rPr>
          <w:rFonts w:hint="eastAsia" w:ascii="宋体" w:hAnsi="宋体" w:eastAsia="宋体" w:cs="宋体"/>
          <w:b/>
          <w:bCs/>
          <w:spacing w:val="-2"/>
          <w:sz w:val="24"/>
          <w:szCs w:val="24"/>
        </w:rPr>
        <w:t xml:space="preserve">Description: </w:t>
      </w:r>
      <w:r>
        <w:rPr>
          <w:rFonts w:hint="eastAsia" w:ascii="宋体" w:hAnsi="宋体" w:eastAsia="宋体" w:cs="宋体"/>
          <w:spacing w:val="-2"/>
          <w:sz w:val="24"/>
          <w:szCs w:val="24"/>
        </w:rPr>
        <w:t>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44"/>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46" w:type="dxa"/>
            <w:vAlign w:val="center"/>
          </w:tcPr>
          <w:p w14:paraId="350C69DC">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1EADBAD7">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547C0C46">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52C7A6F2">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144" w:type="dxa"/>
            <w:vAlign w:val="center"/>
          </w:tcPr>
          <w:p w14:paraId="69376685">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56D63B79">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3D4A063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氧化铟锡</w:t>
            </w:r>
          </w:p>
          <w:p w14:paraId="22CDF77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ascii="宋体" w:hAnsi="宋体" w:eastAsia="宋体" w:cs="宋体"/>
                <w:sz w:val="24"/>
                <w:szCs w:val="24"/>
              </w:rPr>
              <w:t xml:space="preserve">Indium </w:t>
            </w:r>
            <w:r>
              <w:rPr>
                <w:rFonts w:hint="eastAsia" w:ascii="宋体" w:hAnsi="宋体" w:eastAsia="宋体" w:cs="宋体"/>
                <w:sz w:val="24"/>
                <w:szCs w:val="24"/>
                <w:lang w:val="en-US" w:eastAsia="zh-CN"/>
              </w:rPr>
              <w:t>T</w:t>
            </w:r>
            <w:r>
              <w:rPr>
                <w:rFonts w:ascii="宋体" w:hAnsi="宋体" w:eastAsia="宋体" w:cs="宋体"/>
                <w:sz w:val="24"/>
                <w:szCs w:val="24"/>
              </w:rPr>
              <w:t xml:space="preserve">in </w:t>
            </w:r>
            <w:r>
              <w:rPr>
                <w:rFonts w:hint="eastAsia" w:ascii="宋体" w:hAnsi="宋体" w:eastAsia="宋体" w:cs="宋体"/>
                <w:sz w:val="24"/>
                <w:szCs w:val="24"/>
                <w:lang w:val="en-US" w:eastAsia="zh-CN"/>
              </w:rPr>
              <w:t>O</w:t>
            </w:r>
            <w:r>
              <w:rPr>
                <w:rFonts w:ascii="宋体" w:hAnsi="宋体" w:eastAsia="宋体" w:cs="宋体"/>
                <w:sz w:val="24"/>
                <w:szCs w:val="24"/>
              </w:rPr>
              <w:t>xide</w:t>
            </w:r>
          </w:p>
        </w:tc>
        <w:tc>
          <w:tcPr>
            <w:tcW w:w="2190" w:type="dxa"/>
            <w:vAlign w:val="center"/>
          </w:tcPr>
          <w:p w14:paraId="044AF56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pacing w:val="-14"/>
                <w:sz w:val="24"/>
                <w:szCs w:val="24"/>
                <w:lang w:val="en-US" w:eastAsia="zh-CN"/>
              </w:rPr>
              <w:t>99.99%</w:t>
            </w:r>
          </w:p>
        </w:tc>
        <w:tc>
          <w:tcPr>
            <w:tcW w:w="4144" w:type="dxa"/>
            <w:vAlign w:val="center"/>
          </w:tcPr>
          <w:p w14:paraId="55FF569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用于制作液晶显示器 、平板显示器、等离子显示器、触摸屏、电子纸、有机发光二极管、太阳能电池、抗静电镀膜、EMI屏蔽的透明传导镀、各种 光学镀膜等。</w:t>
            </w:r>
          </w:p>
        </w:tc>
      </w:tr>
    </w:tbl>
    <w:p w14:paraId="46D373A0">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bCs/>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66AC109C">
      <w:pPr>
        <w:numPr>
          <w:ilvl w:val="0"/>
          <w:numId w:val="0"/>
        </w:numPr>
        <w:ind w:left="239" w:leftChars="114" w:firstLine="0" w:firstLineChars="0"/>
        <w:jc w:val="left"/>
        <w:rPr>
          <w:rFonts w:hint="default" w:ascii="宋体" w:hAnsi="宋体" w:eastAsia="宋体" w:cs="宋体"/>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ascii="宋体" w:hAnsi="宋体" w:eastAsia="宋体" w:cs="宋体"/>
          <w:sz w:val="24"/>
          <w:szCs w:val="24"/>
        </w:rPr>
        <w:t>脱去污染的衣着，用肥皂水和清水彻底冲洗皮肤。如有不适感，就医。</w:t>
      </w:r>
    </w:p>
    <w:p w14:paraId="2F7EF13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Remove contaminated clothing and rinse skin thoroughly with soap and water. Seek medical attention if you feel unwell.</w:t>
      </w:r>
      <w:r>
        <w:rPr>
          <w:rFonts w:ascii="宋体" w:hAnsi="宋体" w:eastAsia="宋体" w:cs="宋体"/>
          <w:sz w:val="24"/>
          <w:szCs w:val="24"/>
        </w:rPr>
        <w:br w:type="textWrapping"/>
      </w:r>
      <w:r>
        <w:rPr>
          <w:rFonts w:ascii="宋体" w:hAnsi="宋体" w:eastAsia="宋体" w:cs="宋体"/>
          <w:b/>
          <w:bCs/>
          <w:sz w:val="24"/>
          <w:szCs w:val="24"/>
        </w:rPr>
        <w:t>眼睛接触：</w:t>
      </w:r>
      <w:r>
        <w:rPr>
          <w:rFonts w:ascii="宋体" w:hAnsi="宋体" w:eastAsia="宋体" w:cs="宋体"/>
          <w:sz w:val="24"/>
          <w:szCs w:val="24"/>
        </w:rPr>
        <w:t>分开眼睑，用流动清水或生理盐水冲洗。立即就医。</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Open the eyelids and rinse with running water or saline. Seek medical attention immediately.</w:t>
      </w:r>
      <w:r>
        <w:rPr>
          <w:rFonts w:ascii="宋体" w:hAnsi="宋体" w:eastAsia="宋体" w:cs="宋体"/>
          <w:sz w:val="24"/>
          <w:szCs w:val="24"/>
        </w:rPr>
        <w:br w:type="textWrapping"/>
      </w:r>
      <w:r>
        <w:rPr>
          <w:rFonts w:ascii="宋体" w:hAnsi="宋体" w:eastAsia="宋体" w:cs="宋体"/>
          <w:b/>
          <w:bCs/>
          <w:sz w:val="24"/>
          <w:szCs w:val="24"/>
        </w:rPr>
        <w:t>吸入：</w:t>
      </w:r>
      <w:r>
        <w:rPr>
          <w:rFonts w:ascii="宋体" w:hAnsi="宋体" w:eastAsia="宋体" w:cs="宋体"/>
          <w:sz w:val="24"/>
          <w:szCs w:val="24"/>
        </w:rPr>
        <w:t>如果吸入，请将患者移到新鲜空气处。</w:t>
      </w:r>
    </w:p>
    <w:p w14:paraId="049234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If inhaled, move victim to fresh air.</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食入：</w:t>
      </w:r>
      <w:r>
        <w:rPr>
          <w:rFonts w:ascii="宋体" w:hAnsi="宋体" w:eastAsia="宋体" w:cs="宋体"/>
          <w:sz w:val="24"/>
          <w:szCs w:val="24"/>
        </w:rPr>
        <w:t>漱口，禁止催吐。立即就医。</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Rinse mouth and do not induce vomiting. Seek medical attention immediately.</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sz w:val="24"/>
          <w:szCs w:val="24"/>
        </w:rPr>
      </w:pPr>
    </w:p>
    <w:p w14:paraId="7BC7AD4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ascii="宋体" w:hAnsi="宋体" w:eastAsia="宋体" w:cs="宋体"/>
          <w:b/>
          <w:bCs/>
          <w:sz w:val="24"/>
          <w:szCs w:val="24"/>
        </w:rPr>
        <w:t>灭火方法及灭火剂：</w:t>
      </w:r>
      <w:r>
        <w:rPr>
          <w:rFonts w:ascii="宋体" w:hAnsi="宋体" w:eastAsia="宋体" w:cs="宋体"/>
          <w:sz w:val="24"/>
          <w:szCs w:val="24"/>
        </w:rPr>
        <w:t>消防人员必须穿全身防火防毒服，在上风向灭火。不燃。火场周围可用的灭火介质</w:t>
      </w:r>
      <w:r>
        <w:rPr>
          <w:rFonts w:hint="eastAsia" w:cs="宋体"/>
          <w:sz w:val="24"/>
          <w:szCs w:val="24"/>
          <w:lang w:eastAsia="zh-CN"/>
        </w:rPr>
        <w:t>。</w:t>
      </w:r>
      <w:r>
        <w:rPr>
          <w:rFonts w:hint="eastAsia" w:ascii="宋体" w:hAnsi="宋体" w:eastAsia="宋体" w:cs="宋体"/>
          <w:i w:val="0"/>
          <w:iCs w:val="0"/>
          <w:caps w:val="0"/>
          <w:color w:val="333333"/>
          <w:spacing w:val="0"/>
          <w:sz w:val="24"/>
          <w:szCs w:val="24"/>
          <w:shd w:val="clear" w:fill="FFFFFF"/>
        </w:rPr>
        <w:t>用水雾,抗乙醇泡沫,干粉或二氧化碳灭火。</w:t>
      </w:r>
      <w:r>
        <w:rPr>
          <w:rFonts w:ascii="宋体" w:hAnsi="宋体" w:eastAsia="宋体" w:cs="宋体"/>
          <w:sz w:val="24"/>
          <w:szCs w:val="24"/>
        </w:rPr>
        <w:t>避免使用直流水灭火，直流水可能导致可燃性液体的飞溅，使火势扩散。</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hint="eastAsia" w:cs="宋体"/>
          <w:b/>
          <w:bCs/>
          <w:sz w:val="24"/>
          <w:szCs w:val="24"/>
          <w:lang w:eastAsia="zh-CN"/>
        </w:rPr>
        <w:t xml:space="preserve">Fire extinguishing methods and extinguishing agents: </w:t>
      </w:r>
      <w:r>
        <w:rPr>
          <w:rFonts w:hint="eastAsia" w:cs="宋体"/>
          <w:sz w:val="24"/>
          <w:szCs w:val="24"/>
          <w:lang w:eastAsia="zh-CN"/>
        </w:rPr>
        <w:t xml:space="preserve">Firefighters must wear full-body fireproof and anti-gas suits and extinguish fires in the </w:t>
      </w:r>
      <w:r>
        <w:rPr>
          <w:rFonts w:hint="eastAsia" w:ascii="Times New Roman" w:hAnsi="Times New Roman" w:eastAsia="宋体" w:cs="宋体"/>
          <w:b w:val="0"/>
          <w:bCs/>
          <w:sz w:val="24"/>
          <w:szCs w:val="24"/>
          <w:lang w:eastAsia="zh-CN"/>
        </w:rPr>
        <w:t>upwind direction. Non-flammable. Available extinguishing media around</w:t>
      </w:r>
      <w:r>
        <w:rPr>
          <w:rFonts w:hint="eastAsia" w:ascii="Times New Roman" w:hAnsi="Times New Roman" w:eastAsia="宋体" w:cs="宋体"/>
          <w:b/>
          <w:sz w:val="24"/>
          <w:szCs w:val="24"/>
          <w:lang w:eastAsia="zh-CN"/>
        </w:rPr>
        <w:t xml:space="preserve"> </w:t>
      </w:r>
      <w:r>
        <w:rPr>
          <w:rFonts w:hint="eastAsia" w:cs="宋体"/>
          <w:sz w:val="24"/>
          <w:szCs w:val="24"/>
          <w:lang w:eastAsia="zh-CN"/>
        </w:rPr>
        <w:t>the fire scene.Use water spray, alcohol-resistant foam, dry powder or carbon dioxide to extinguish fire.Avoid using direct water to extinguish fire, as direct water may cause flammable liquid to splash and spread the fire.</w:t>
      </w:r>
    </w:p>
    <w:p w14:paraId="220112D2">
      <w:pPr>
        <w:pStyle w:val="10"/>
        <w:spacing w:before="71" w:line="221" w:lineRule="auto"/>
        <w:ind w:left="239" w:leftChars="114" w:firstLine="0" w:firstLineChars="0"/>
        <w:outlineLvl w:val="0"/>
        <w:rPr>
          <w:rFonts w:hint="eastAsia" w:cs="宋体"/>
          <w:sz w:val="24"/>
          <w:szCs w:val="24"/>
          <w:lang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sz w:val="24"/>
          <w:szCs w:val="24"/>
        </w:rPr>
      </w:pPr>
    </w:p>
    <w:p w14:paraId="3917434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人员防护措施、防护装备和应急处置程序</w:t>
      </w:r>
      <w:r>
        <w:rPr>
          <w:rFonts w:hint="eastAsia" w:ascii="宋体" w:hAnsi="宋体" w:eastAsia="宋体" w:cs="宋体"/>
          <w:b/>
          <w:bCs/>
          <w:sz w:val="24"/>
          <w:szCs w:val="24"/>
          <w:lang w:val="en-US" w:eastAsia="zh-CN"/>
        </w:rPr>
        <w:t>:</w:t>
      </w:r>
      <w:r>
        <w:rPr>
          <w:rFonts w:hint="eastAsia" w:ascii="宋体" w:hAnsi="宋体" w:eastAsia="宋体" w:cs="宋体"/>
          <w:sz w:val="24"/>
          <w:szCs w:val="24"/>
        </w:rPr>
        <w:t>避免粉尘生成。避免吸入蒸气、气雾或气体。</w:t>
      </w:r>
      <w:r>
        <w:rPr>
          <w:rFonts w:ascii="宋体" w:hAnsi="宋体" w:eastAsia="宋体" w:cs="宋体"/>
          <w:sz w:val="24"/>
          <w:szCs w:val="24"/>
        </w:rPr>
        <w:t>建议应急处理人员戴携气式呼吸器，穿防静电服，戴橡胶耐油手套。禁止接触或跨越泄漏物。作业时使用的所有设备应接地。尽可能切断泄漏源。消除所有点火源。根据液体流动、蒸汽或粉尘扩散的影响区域划定警戒区，无关人员从侧风、上风向撤离至安全区。</w:t>
      </w:r>
    </w:p>
    <w:p w14:paraId="21A2E41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Personal protection measures, protective equipment and emergency procedures:</w:t>
      </w:r>
      <w:r>
        <w:rPr>
          <w:rFonts w:hint="eastAsia" w:ascii="宋体" w:hAnsi="宋体" w:eastAsia="宋体" w:cs="宋体"/>
          <w:sz w:val="24"/>
          <w:szCs w:val="24"/>
        </w:rPr>
        <w:t xml:space="preserve"> Avoid dust generation. Avoid inhalation of vapor, mist or gas. It is recommended that emergency response personnel wear air-contained respirators, anti-static clothing, and rubber oil-resistant gloves. Do not touch or cross the leak. All equipment used during operation should be grounded. Cut off the source of leakage as much as possible. Eliminate all ignition sources. Delineate warning areas according to the affected areas of liquid flow, vapor or dust diffusion, and evacuate irrelevant personnel from the sidewind and upwind directions to safe areas.</w:t>
      </w:r>
      <w:r>
        <w:rPr>
          <w:rFonts w:hint="eastAsia" w:ascii="宋体" w:hAnsi="宋体" w:eastAsia="宋体" w:cs="宋体"/>
          <w:b/>
          <w:bCs/>
          <w:sz w:val="24"/>
          <w:szCs w:val="24"/>
        </w:rPr>
        <w:t>环境保护措施</w:t>
      </w:r>
      <w:r>
        <w:rPr>
          <w:rFonts w:hint="eastAsia" w:ascii="宋体" w:hAnsi="宋体" w:eastAsia="宋体" w:cs="宋体"/>
          <w:b/>
          <w:bCs/>
          <w:sz w:val="24"/>
          <w:szCs w:val="24"/>
          <w:lang w:val="en-US" w:eastAsia="zh-CN"/>
        </w:rPr>
        <w:t>:</w:t>
      </w:r>
      <w:r>
        <w:rPr>
          <w:rFonts w:ascii="宋体" w:hAnsi="宋体" w:eastAsia="宋体" w:cs="宋体"/>
          <w:sz w:val="24"/>
          <w:szCs w:val="24"/>
        </w:rPr>
        <w:t>如能确保安全，可采取措施防止进一步的泄漏或溢出。 不要让产品进入下水道。</w:t>
      </w:r>
    </w:p>
    <w:p w14:paraId="1272B8AD">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Environmental protection measures:</w:t>
      </w:r>
      <w:r>
        <w:rPr>
          <w:rFonts w:hint="eastAsia" w:ascii="宋体" w:hAnsi="宋体" w:eastAsia="宋体" w:cs="宋体"/>
          <w:sz w:val="24"/>
          <w:szCs w:val="24"/>
        </w:rPr>
        <w:t xml:space="preserve"> Prevent further leakage or spillage if safe to do so. Do not let product enter drains.</w:t>
      </w:r>
    </w:p>
    <w:p w14:paraId="5D08DB7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val="en-US" w:eastAsia="zh-CN"/>
        </w:rPr>
      </w:pPr>
      <w:r>
        <w:rPr>
          <w:rFonts w:hint="eastAsia" w:ascii="宋体" w:hAnsi="宋体" w:eastAsia="宋体" w:cs="宋体"/>
          <w:b/>
          <w:bCs/>
          <w:sz w:val="24"/>
          <w:szCs w:val="24"/>
        </w:rPr>
        <w:t>泄漏化学品的收集、清除方法及所使用的处置材料</w:t>
      </w:r>
      <w:r>
        <w:rPr>
          <w:rFonts w:hint="eastAsia" w:ascii="宋体" w:hAnsi="宋体" w:eastAsia="宋体" w:cs="宋体"/>
          <w:b/>
          <w:bCs/>
          <w:sz w:val="24"/>
          <w:szCs w:val="24"/>
          <w:lang w:val="en-US" w:eastAsia="zh-CN"/>
        </w:rPr>
        <w:t>:</w:t>
      </w:r>
      <w:r>
        <w:rPr>
          <w:rFonts w:hint="eastAsia" w:ascii="宋体" w:hAnsi="宋体" w:eastAsia="宋体" w:cs="宋体"/>
          <w:sz w:val="24"/>
          <w:szCs w:val="24"/>
        </w:rPr>
        <w:t>扫掉和铲掉。放入合适的封闭的容器中待处理。</w:t>
      </w:r>
    </w:p>
    <w:p w14:paraId="6265D466">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Collection and removal methods of leaked chemicals and disposal materials used:</w:t>
      </w:r>
      <w:r>
        <w:rPr>
          <w:rFonts w:hint="eastAsia" w:ascii="宋体" w:hAnsi="宋体" w:eastAsia="宋体" w:cs="宋体"/>
          <w:sz w:val="24"/>
          <w:szCs w:val="24"/>
        </w:rPr>
        <w:t xml:space="preserve"> Sweep and shovel. Place in a suitable closed container for disposal.</w:t>
      </w:r>
    </w:p>
    <w:p w14:paraId="1055528F">
      <w:pPr>
        <w:pStyle w:val="10"/>
        <w:spacing w:before="71" w:line="221" w:lineRule="auto"/>
        <w:ind w:left="239" w:leftChars="114" w:firstLine="0" w:firstLineChars="0"/>
        <w:outlineLvl w:val="0"/>
        <w:rPr>
          <w:rFonts w:hint="eastAsia" w:ascii="宋体" w:hAnsi="宋体" w:eastAsia="宋体" w:cs="宋体"/>
          <w:sz w:val="24"/>
          <w:szCs w:val="24"/>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sz w:val="24"/>
          <w:szCs w:val="24"/>
        </w:rPr>
      </w:pPr>
    </w:p>
    <w:p w14:paraId="253D06E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操作注意事项：</w:t>
      </w:r>
      <w:r>
        <w:rPr>
          <w:rFonts w:ascii="宋体" w:hAnsi="宋体" w:eastAsia="宋体" w:cs="宋体"/>
          <w:sz w:val="24"/>
          <w:szCs w:val="24"/>
        </w:rPr>
        <w:t>在有粉尘生成的地方,提供合适的排风设备。</w:t>
      </w:r>
    </w:p>
    <w:p w14:paraId="0A819DF8">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Operation precautions:</w:t>
      </w:r>
      <w:r>
        <w:rPr>
          <w:rFonts w:hint="eastAsia" w:ascii="宋体" w:hAnsi="宋体" w:eastAsia="宋体" w:cs="宋体"/>
          <w:sz w:val="24"/>
          <w:szCs w:val="24"/>
        </w:rPr>
        <w:t xml:space="preserve"> Where dust is generated, provide appropriate exhaust equipment.</w:t>
      </w:r>
    </w:p>
    <w:p w14:paraId="674327FA">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cs="宋体"/>
          <w:sz w:val="24"/>
          <w:szCs w:val="24"/>
          <w:lang w:val="en-US" w:eastAsia="zh-CN"/>
        </w:rPr>
      </w:pPr>
      <w:r>
        <w:rPr>
          <w:rFonts w:ascii="宋体" w:hAnsi="宋体" w:eastAsia="宋体" w:cs="宋体"/>
          <w:b/>
          <w:bCs/>
          <w:sz w:val="24"/>
          <w:szCs w:val="24"/>
        </w:rPr>
        <w:t>储存注意事项：</w:t>
      </w:r>
      <w:r>
        <w:rPr>
          <w:rFonts w:ascii="宋体" w:hAnsi="宋体" w:eastAsia="宋体" w:cs="宋体"/>
          <w:sz w:val="24"/>
          <w:szCs w:val="24"/>
        </w:rPr>
        <w:t>贮存在阴凉处。使容器保持密闭，储存在干燥通风处。</w:t>
      </w:r>
    </w:p>
    <w:p w14:paraId="6B13F2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bCs/>
          <w:sz w:val="24"/>
          <w:szCs w:val="24"/>
          <w:lang w:val="en-US" w:eastAsia="zh-CN"/>
        </w:rPr>
        <w:t>Storage precautions:</w:t>
      </w:r>
      <w:r>
        <w:rPr>
          <w:rFonts w:hint="default" w:ascii="宋体" w:hAnsi="宋体" w:eastAsia="宋体" w:cs="宋体"/>
          <w:b w:val="0"/>
          <w:bCs w:val="0"/>
          <w:sz w:val="24"/>
          <w:szCs w:val="24"/>
          <w:lang w:val="en-US" w:eastAsia="zh-CN"/>
        </w:rPr>
        <w:t>Store in a cool place. Keep the container tightly closed in a dry and ventilated place.</w:t>
      </w:r>
    </w:p>
    <w:p w14:paraId="747E6B0D">
      <w:pPr>
        <w:numPr>
          <w:ilvl w:val="0"/>
          <w:numId w:val="0"/>
        </w:numPr>
        <w:ind w:left="239" w:leftChars="114" w:firstLine="0" w:firstLineChars="0"/>
        <w:jc w:val="left"/>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493231D4">
      <w:pPr>
        <w:numPr>
          <w:ilvl w:val="0"/>
          <w:numId w:val="0"/>
        </w:numPr>
        <w:ind w:left="239" w:leftChars="114" w:firstLine="0" w:firstLineChars="0"/>
        <w:jc w:val="left"/>
        <w:rPr>
          <w:rFonts w:ascii="宋体" w:hAnsi="宋体" w:eastAsia="宋体" w:cs="宋体"/>
          <w:sz w:val="24"/>
          <w:szCs w:val="24"/>
        </w:rPr>
      </w:pP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工程控制：</w:t>
      </w:r>
      <w:r>
        <w:rPr>
          <w:rFonts w:ascii="宋体" w:hAnsi="宋体" w:eastAsia="宋体" w:cs="宋体"/>
          <w:sz w:val="24"/>
          <w:szCs w:val="24"/>
        </w:rPr>
        <w:t>密闭操作，局部排风。</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 xml:space="preserve"> Closed operation, local exhaust.</w:t>
      </w:r>
      <w:r>
        <w:rPr>
          <w:rFonts w:ascii="宋体" w:hAnsi="宋体" w:eastAsia="宋体" w:cs="宋体"/>
          <w:sz w:val="24"/>
          <w:szCs w:val="24"/>
        </w:rPr>
        <w:br w:type="textWrapping"/>
      </w: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r>
        <w:rPr>
          <w:rFonts w:ascii="宋体" w:hAnsi="宋体" w:eastAsia="宋体" w:cs="宋体"/>
          <w:sz w:val="24"/>
          <w:szCs w:val="24"/>
        </w:rPr>
        <w:br w:type="textWrapping"/>
      </w:r>
      <w:r>
        <w:rPr>
          <w:rFonts w:ascii="宋体" w:hAnsi="宋体" w:eastAsia="宋体" w:cs="宋体"/>
          <w:b/>
          <w:bCs/>
          <w:sz w:val="24"/>
          <w:szCs w:val="24"/>
        </w:rPr>
        <w:t>眼睛防护：</w:t>
      </w:r>
      <w:r>
        <w:rPr>
          <w:rFonts w:ascii="宋体" w:hAnsi="宋体" w:eastAsia="宋体" w:cs="宋体"/>
          <w:sz w:val="24"/>
          <w:szCs w:val="24"/>
        </w:rPr>
        <w:t>戴化学安全防护眼镜。</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r>
        <w:rPr>
          <w:rFonts w:ascii="宋体" w:hAnsi="宋体" w:eastAsia="宋体" w:cs="宋体"/>
          <w:sz w:val="24"/>
          <w:szCs w:val="24"/>
        </w:rPr>
        <w:br w:type="textWrapping"/>
      </w:r>
      <w:r>
        <w:rPr>
          <w:rFonts w:ascii="宋体" w:hAnsi="宋体" w:eastAsia="宋体" w:cs="宋体"/>
          <w:b/>
          <w:bCs/>
          <w:sz w:val="24"/>
          <w:szCs w:val="24"/>
        </w:rPr>
        <w:t>身体防护：</w:t>
      </w:r>
      <w:r>
        <w:rPr>
          <w:rFonts w:ascii="宋体" w:hAnsi="宋体" w:eastAsia="宋体" w:cs="宋体"/>
          <w:sz w:val="24"/>
          <w:szCs w:val="24"/>
        </w:rPr>
        <w:t>防护服。</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r>
        <w:rPr>
          <w:rFonts w:ascii="宋体" w:hAnsi="宋体" w:eastAsia="宋体" w:cs="宋体"/>
          <w:sz w:val="24"/>
          <w:szCs w:val="24"/>
        </w:rPr>
        <w:br w:type="textWrapping"/>
      </w:r>
      <w:r>
        <w:rPr>
          <w:rFonts w:ascii="宋体" w:hAnsi="宋体" w:eastAsia="宋体" w:cs="宋体"/>
          <w:b/>
          <w:bCs/>
          <w:sz w:val="24"/>
          <w:szCs w:val="24"/>
        </w:rPr>
        <w:t>手防护：</w:t>
      </w:r>
      <w:r>
        <w:rPr>
          <w:rFonts w:ascii="宋体" w:hAnsi="宋体" w:eastAsia="宋体" w:cs="宋体"/>
          <w:sz w:val="24"/>
          <w:szCs w:val="24"/>
        </w:rPr>
        <w:t>配戴防护手套。</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r>
        <w:rPr>
          <w:rFonts w:ascii="宋体" w:hAnsi="宋体" w:eastAsia="宋体" w:cs="宋体"/>
          <w:sz w:val="24"/>
          <w:szCs w:val="24"/>
        </w:rPr>
        <w:br w:type="textWrapping"/>
      </w: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4624"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黄色</w:t>
            </w:r>
            <w:r>
              <w:rPr>
                <w:rFonts w:hint="eastAsia" w:cs="宋体"/>
                <w:b w:val="0"/>
                <w:bCs w:val="0"/>
                <w:sz w:val="24"/>
                <w:szCs w:val="24"/>
                <w:vertAlign w:val="baseline"/>
                <w:lang w:val="en-US" w:eastAsia="zh-CN"/>
              </w:rPr>
              <w:t>Yellow</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4624"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spacing w:val="-5"/>
              </w:rPr>
              <w:t>粉末</w:t>
            </w:r>
            <w:r>
              <w:rPr>
                <w:rFonts w:hint="eastAsia"/>
                <w:spacing w:val="-5"/>
              </w:rPr>
              <w:t>Powder</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4624"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spacing w:val="-6"/>
              </w:rPr>
              <w:t>无味</w:t>
            </w:r>
            <w:r>
              <w:rPr>
                <w:rFonts w:hint="eastAsia"/>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3446" w:type="dxa"/>
            <w:vAlign w:val="center"/>
          </w:tcPr>
          <w:p w14:paraId="75BF9C79">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eastAsia"/>
                <w:b/>
                <w:bCs/>
                <w:color w:val="auto"/>
                <w:spacing w:val="-6"/>
                <w:lang w:val="en-US" w:eastAsia="zh-CN"/>
              </w:rPr>
            </w:pPr>
            <w:r>
              <w:rPr>
                <w:rFonts w:hint="eastAsia"/>
                <w:b/>
                <w:bCs/>
                <w:color w:val="auto"/>
                <w:spacing w:val="-6"/>
                <w:lang w:val="en-US" w:eastAsia="zh-CN"/>
              </w:rPr>
              <w:t>溶解度</w:t>
            </w:r>
          </w:p>
          <w:p w14:paraId="1F09EFA3">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default" w:ascii="宋体" w:hAnsi="宋体" w:eastAsia="宋体" w:cs="宋体"/>
                <w:b/>
                <w:bCs/>
                <w:kern w:val="2"/>
                <w:sz w:val="24"/>
                <w:szCs w:val="24"/>
                <w:lang w:val="en-US" w:eastAsia="zh-CN" w:bidi="ar-SA"/>
              </w:rPr>
            </w:pPr>
            <w:r>
              <w:rPr>
                <w:rFonts w:hint="eastAsia"/>
                <w:b/>
                <w:bCs/>
                <w:color w:val="auto"/>
                <w:spacing w:val="-6"/>
                <w:lang w:val="en-US" w:eastAsia="zh-CN"/>
              </w:rPr>
              <w:t>Solubility</w:t>
            </w:r>
          </w:p>
        </w:tc>
        <w:tc>
          <w:tcPr>
            <w:tcW w:w="4624" w:type="dxa"/>
            <w:vAlign w:val="center"/>
          </w:tcPr>
          <w:p w14:paraId="12B504FA">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eastAsia" w:cs="宋体"/>
                <w:kern w:val="2"/>
                <w:sz w:val="24"/>
                <w:szCs w:val="24"/>
                <w:lang w:val="en-US" w:eastAsia="zh-CN" w:bidi="ar-SA"/>
              </w:rPr>
            </w:pPr>
            <w:r>
              <w:rPr>
                <w:rFonts w:hint="eastAsia" w:cs="宋体"/>
                <w:kern w:val="2"/>
                <w:sz w:val="24"/>
                <w:szCs w:val="24"/>
                <w:lang w:val="en-US" w:eastAsia="zh-CN" w:bidi="ar-SA"/>
              </w:rPr>
              <w:t>不溶于水</w:t>
            </w:r>
          </w:p>
          <w:p w14:paraId="36774DCE">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default" w:cs="宋体"/>
                <w:kern w:val="2"/>
                <w:sz w:val="24"/>
                <w:szCs w:val="24"/>
                <w:lang w:val="en-US" w:eastAsia="zh-CN" w:bidi="ar-SA"/>
              </w:rPr>
            </w:pPr>
            <w:r>
              <w:rPr>
                <w:rFonts w:hint="default" w:cs="宋体"/>
                <w:kern w:val="2"/>
                <w:sz w:val="24"/>
                <w:szCs w:val="24"/>
                <w:lang w:val="en-US" w:eastAsia="zh-CN" w:bidi="ar-SA"/>
              </w:rPr>
              <w:t>Insoluble in water</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lang w:val="en-US" w:eastAsia="zh-CN"/>
              </w:rPr>
            </w:pPr>
            <w:r>
              <w:rPr>
                <w:rFonts w:hint="eastAsia"/>
                <w:b/>
                <w:bCs/>
                <w:lang w:val="en-US" w:eastAsia="zh-CN"/>
              </w:rPr>
              <w:t>相对密度</w:t>
            </w:r>
          </w:p>
          <w:p w14:paraId="2E23E2D7">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4624" w:type="dxa"/>
            <w:vAlign w:val="center"/>
          </w:tcPr>
          <w:p w14:paraId="722F14DE">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12"/>
                <w:szCs w:val="12"/>
                <w:lang w:val="en-US" w:eastAsia="zh-CN" w:bidi="ar-SA"/>
              </w:rPr>
            </w:pPr>
            <w:r>
              <w:rPr>
                <w:rFonts w:ascii="宋体" w:hAnsi="宋体" w:eastAsia="宋体" w:cs="宋体"/>
                <w:sz w:val="24"/>
                <w:szCs w:val="24"/>
              </w:rPr>
              <w:t>1.040</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4624"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1526 至 1926 ℃</w:t>
            </w:r>
          </w:p>
        </w:tc>
      </w:tr>
    </w:tbl>
    <w:p w14:paraId="46C76AD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24470326">
      <w:pPr>
        <w:numPr>
          <w:ilvl w:val="0"/>
          <w:numId w:val="0"/>
        </w:numPr>
        <w:ind w:leftChars="114"/>
        <w:jc w:val="left"/>
        <w:rPr>
          <w:rFonts w:ascii="宋体" w:hAnsi="宋体" w:eastAsia="宋体" w:cs="宋体"/>
          <w:sz w:val="24"/>
          <w:szCs w:val="24"/>
        </w:rPr>
      </w:pPr>
    </w:p>
    <w:p w14:paraId="2EEB976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sz w:val="24"/>
          <w:szCs w:val="24"/>
          <w:lang w:val="en-US" w:eastAsia="zh-CN"/>
        </w:rPr>
      </w:pPr>
      <w:r>
        <w:rPr>
          <w:rFonts w:ascii="宋体" w:hAnsi="宋体" w:eastAsia="宋体" w:cs="宋体"/>
          <w:b/>
          <w:bCs/>
          <w:sz w:val="24"/>
          <w:szCs w:val="24"/>
        </w:rPr>
        <w:t>有害分解产物：</w:t>
      </w:r>
      <w:r>
        <w:rPr>
          <w:rFonts w:ascii="宋体" w:hAnsi="宋体" w:eastAsia="宋体" w:cs="宋体"/>
          <w:sz w:val="24"/>
          <w:szCs w:val="24"/>
        </w:rPr>
        <w:t>在着火情况下，会分解生成有害物质</w:t>
      </w:r>
      <w:r>
        <w:rPr>
          <w:rFonts w:hint="eastAsia" w:ascii="宋体" w:hAnsi="宋体" w:eastAsia="宋体" w:cs="宋体"/>
          <w:i w:val="0"/>
          <w:iCs w:val="0"/>
          <w:caps w:val="0"/>
          <w:color w:val="333333"/>
          <w:spacing w:val="0"/>
          <w:sz w:val="24"/>
          <w:szCs w:val="24"/>
          <w:shd w:val="clear" w:fill="FFFFFF"/>
          <w:lang w:eastAsia="zh-CN"/>
        </w:rPr>
        <w:t>。</w:t>
      </w:r>
    </w:p>
    <w:p w14:paraId="19D2F97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Hazardous decomposition products:</w:t>
      </w:r>
      <w:r>
        <w:rPr>
          <w:rFonts w:hint="eastAsia" w:ascii="宋体" w:hAnsi="宋体" w:eastAsia="宋体" w:cs="宋体"/>
          <w:sz w:val="24"/>
          <w:szCs w:val="24"/>
        </w:rPr>
        <w:t xml:space="preserve"> In the event of fire, it will decompose into harmful substances.</w:t>
      </w:r>
      <w:r>
        <w:rPr>
          <w:rFonts w:ascii="宋体" w:hAnsi="宋体" w:eastAsia="宋体" w:cs="宋体"/>
          <w:sz w:val="24"/>
          <w:szCs w:val="24"/>
        </w:rPr>
        <w:br w:type="textWrapping"/>
      </w:r>
      <w:r>
        <w:rPr>
          <w:rFonts w:ascii="宋体" w:hAnsi="宋体" w:eastAsia="宋体" w:cs="宋体"/>
          <w:b/>
          <w:bCs/>
          <w:sz w:val="24"/>
          <w:szCs w:val="24"/>
        </w:rPr>
        <w:t>禁配物：</w:t>
      </w:r>
      <w:r>
        <w:rPr>
          <w:rFonts w:hint="eastAsia" w:ascii="宋体" w:hAnsi="宋体" w:eastAsia="宋体" w:cs="宋体"/>
          <w:i w:val="0"/>
          <w:iCs w:val="0"/>
          <w:caps w:val="0"/>
          <w:color w:val="333333"/>
          <w:spacing w:val="0"/>
          <w:sz w:val="24"/>
          <w:szCs w:val="24"/>
          <w:shd w:val="clear" w:fill="FFFFFF"/>
        </w:rPr>
        <w:t>强氧化剂, 钾, 强酸, 铝, 钠/氧化钠, 镁</w:t>
      </w:r>
      <w:r>
        <w:rPr>
          <w:rFonts w:hint="eastAsia" w:ascii="宋体" w:hAnsi="宋体" w:eastAsia="宋体" w:cs="宋体"/>
          <w:i w:val="0"/>
          <w:iCs w:val="0"/>
          <w:caps w:val="0"/>
          <w:color w:val="333333"/>
          <w:spacing w:val="0"/>
          <w:sz w:val="24"/>
          <w:szCs w:val="24"/>
          <w:shd w:val="clear" w:fill="FFFFFF"/>
          <w:lang w:eastAsia="zh-CN"/>
        </w:rPr>
        <w:t>。</w:t>
      </w:r>
    </w:p>
    <w:p w14:paraId="589F2A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Incompatible materials:</w:t>
      </w:r>
      <w:r>
        <w:rPr>
          <w:rFonts w:hint="default" w:ascii="宋体" w:hAnsi="宋体" w:eastAsia="宋体" w:cs="宋体"/>
          <w:sz w:val="24"/>
          <w:szCs w:val="24"/>
          <w:lang w:val="en-US" w:eastAsia="zh-CN"/>
        </w:rPr>
        <w:t>Strong oxidizing agents, Potassium, Strong acids, Aluminum, Sodium/sodium oxide, Magnesium.</w:t>
      </w:r>
    </w:p>
    <w:p w14:paraId="1C5B0D8E">
      <w:pPr>
        <w:numPr>
          <w:ilvl w:val="0"/>
          <w:numId w:val="0"/>
        </w:numPr>
        <w:ind w:leftChars="114"/>
        <w:jc w:val="left"/>
        <w:rPr>
          <w:rFonts w:hint="default" w:ascii="宋体" w:hAnsi="宋体" w:eastAsia="宋体" w:cs="宋体"/>
          <w:sz w:val="24"/>
          <w:szCs w:val="24"/>
          <w:lang w:val="en-US" w:eastAsia="zh-CN"/>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10"/>
        <w:spacing w:before="78" w:line="239" w:lineRule="auto"/>
        <w:ind w:left="463"/>
        <w:rPr>
          <w:rFonts w:hint="eastAsia"/>
          <w:spacing w:val="-26"/>
          <w:w w:val="97"/>
          <w:lang w:val="en-US" w:eastAsia="zh-CN"/>
        </w:rPr>
      </w:pPr>
    </w:p>
    <w:p w14:paraId="140E4B79">
      <w:pPr>
        <w:numPr>
          <w:ilvl w:val="0"/>
          <w:numId w:val="0"/>
        </w:numPr>
        <w:ind w:left="479" w:leftChars="228" w:firstLine="0" w:firstLineChars="0"/>
        <w:jc w:val="left"/>
        <w:rPr>
          <w:rFonts w:ascii="宋体" w:hAnsi="宋体" w:eastAsia="宋体" w:cs="宋体"/>
          <w:sz w:val="24"/>
          <w:szCs w:val="24"/>
        </w:rPr>
      </w:pPr>
      <w:r>
        <w:rPr>
          <w:rFonts w:ascii="宋体" w:hAnsi="宋体" w:eastAsia="宋体" w:cs="宋体"/>
          <w:b/>
          <w:bCs/>
          <w:sz w:val="24"/>
          <w:szCs w:val="24"/>
        </w:rPr>
        <w:t>致癌性IARC</w:t>
      </w:r>
      <w:r>
        <w:rPr>
          <w:rFonts w:ascii="宋体" w:hAnsi="宋体" w:eastAsia="宋体" w:cs="宋体"/>
          <w:sz w:val="24"/>
          <w:szCs w:val="24"/>
        </w:rPr>
        <w:t>: 此产品中没有大于或等于 0。1%含量的组分被 IARC鉴别为可能的或肯定的人类致癌物。</w:t>
      </w:r>
    </w:p>
    <w:p w14:paraId="797E7E3D">
      <w:pPr>
        <w:numPr>
          <w:ilvl w:val="0"/>
          <w:numId w:val="0"/>
        </w:numPr>
        <w:ind w:left="479" w:leftChars="228" w:firstLine="0" w:firstLineChars="0"/>
        <w:jc w:val="left"/>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 xml:space="preserve">Carcinogenicity IARC: </w:t>
      </w:r>
      <w:r>
        <w:rPr>
          <w:rFonts w:hint="default" w:ascii="宋体" w:hAnsi="宋体" w:eastAsia="宋体" w:cs="宋体"/>
          <w:sz w:val="24"/>
          <w:szCs w:val="24"/>
          <w:lang w:val="en-US" w:eastAsia="zh-CN"/>
        </w:rPr>
        <w:t>No component of this product, at levels greater than or equal to 0.1%, has been identified by IARC as a possible or confirmed human carcinogen.</w:t>
      </w:r>
    </w:p>
    <w:p w14:paraId="4C6D61A5">
      <w:pPr>
        <w:numPr>
          <w:ilvl w:val="0"/>
          <w:numId w:val="0"/>
        </w:numPr>
        <w:ind w:left="479" w:leftChars="228" w:firstLine="0" w:firstLineChars="0"/>
        <w:jc w:val="left"/>
        <w:rPr>
          <w:rFonts w:hint="default" w:ascii="宋体" w:hAnsi="宋体" w:eastAsia="宋体" w:cs="宋体"/>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20DA0744">
      <w:pPr>
        <w:pStyle w:val="10"/>
        <w:spacing w:before="78" w:line="239" w:lineRule="auto"/>
        <w:ind w:left="463"/>
        <w:rPr>
          <w:spacing w:val="-11"/>
        </w:rPr>
      </w:pPr>
    </w:p>
    <w:p w14:paraId="7BAD3E29">
      <w:pPr>
        <w:pStyle w:val="10"/>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spacing w:val="-11"/>
          <w:lang w:val="en-US" w:eastAsia="zh-CN"/>
        </w:rPr>
      </w:pPr>
      <w:r>
        <w:rPr>
          <w:b/>
          <w:bCs/>
          <w:spacing w:val="-11"/>
        </w:rPr>
        <w:t>生态有害性：</w:t>
      </w:r>
      <w:r>
        <w:rPr>
          <w:rFonts w:hint="eastAsia"/>
          <w:spacing w:val="-11"/>
          <w:lang w:val="en-US" w:eastAsia="zh-CN"/>
        </w:rPr>
        <w:t>无资料</w:t>
      </w:r>
    </w:p>
    <w:p w14:paraId="1BF10C2A">
      <w:pPr>
        <w:pStyle w:val="10"/>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spacing w:val="-11"/>
          <w:lang w:val="en-US" w:eastAsia="zh-CN"/>
        </w:rPr>
      </w:pPr>
      <w:r>
        <w:rPr>
          <w:rFonts w:hint="eastAsia"/>
          <w:b/>
          <w:bCs/>
          <w:spacing w:val="-11"/>
          <w:lang w:val="en-US" w:eastAsia="zh-CN"/>
        </w:rPr>
        <w:t xml:space="preserve">Ecological harm: </w:t>
      </w:r>
      <w:r>
        <w:rPr>
          <w:rFonts w:hint="eastAsia"/>
          <w:spacing w:val="-11"/>
          <w:lang w:val="en-US" w:eastAsia="zh-CN"/>
        </w:rPr>
        <w:t>No information</w:t>
      </w:r>
    </w:p>
    <w:p w14:paraId="552F960D">
      <w:pPr>
        <w:numPr>
          <w:ilvl w:val="0"/>
          <w:numId w:val="0"/>
        </w:numPr>
        <w:ind w:leftChars="114"/>
        <w:jc w:val="left"/>
        <w:rPr>
          <w:rFonts w:hint="default" w:ascii="宋体" w:hAnsi="宋体" w:eastAsia="宋体" w:cs="宋体"/>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10"/>
        <w:spacing w:before="79" w:line="239" w:lineRule="auto"/>
        <w:ind w:left="463"/>
        <w:rPr>
          <w:spacing w:val="-10"/>
        </w:rPr>
      </w:pPr>
    </w:p>
    <w:p w14:paraId="7996C246">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b/>
          <w:bCs/>
          <w:spacing w:val="-10"/>
        </w:rPr>
        <w:t>废弃处置方法：</w:t>
      </w:r>
      <w:r>
        <w:rPr>
          <w:rFonts w:ascii="宋体" w:hAnsi="宋体" w:eastAsia="宋体" w:cs="宋体"/>
          <w:sz w:val="24"/>
          <w:szCs w:val="24"/>
        </w:rPr>
        <w:t>尽可能回收利用。如果不能回收利用，采用焚烧方法进行处置。不得采用排放到下水道的方式废弃处置本品。将容器返还生产商或按照国家和地方法规处置。废弃处置前应参阅国家和地方有关法规。</w:t>
      </w:r>
    </w:p>
    <w:p w14:paraId="330388B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Recycle if possible. If recycling is not possible, dispose of by incineration. Do not dispose of this product by discharge into a sewer. Return container to manufacturer or dispose in accordance with national and local regulations. Consult national and local regulations before disposal.</w:t>
      </w:r>
    </w:p>
    <w:p w14:paraId="6D854663">
      <w:pPr>
        <w:pStyle w:val="10"/>
        <w:spacing w:before="79" w:line="239" w:lineRule="auto"/>
        <w:ind w:left="463"/>
        <w:rPr>
          <w:rFonts w:hint="eastAsia" w:ascii="宋体" w:hAnsi="宋体" w:eastAsia="宋体" w:cs="宋体"/>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10"/>
        <w:spacing w:before="79" w:line="239" w:lineRule="auto"/>
        <w:ind w:left="463"/>
        <w:rPr>
          <w:rFonts w:ascii="宋体" w:hAnsi="宋体" w:eastAsia="宋体" w:cs="宋体"/>
          <w:sz w:val="24"/>
          <w:szCs w:val="24"/>
        </w:rPr>
      </w:pPr>
    </w:p>
    <w:p w14:paraId="03EE8C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ascii="宋体" w:hAnsi="宋体" w:eastAsia="宋体" w:cs="宋体"/>
          <w:b/>
          <w:bCs/>
          <w:sz w:val="24"/>
          <w:szCs w:val="24"/>
        </w:rPr>
        <w:t>运输品名：</w:t>
      </w:r>
      <w:r>
        <w:rPr>
          <w:rFonts w:hint="eastAsia" w:cs="宋体"/>
          <w:b/>
          <w:bCs/>
          <w:sz w:val="24"/>
          <w:szCs w:val="24"/>
          <w:lang w:val="en-US" w:eastAsia="zh-CN"/>
        </w:rPr>
        <w:t>氧化铟锡</w:t>
      </w:r>
    </w:p>
    <w:p w14:paraId="38B0384A">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w:t>
      </w:r>
      <w:r>
        <w:rPr>
          <w:rFonts w:ascii="宋体" w:hAnsi="宋体" w:eastAsia="宋体" w:cs="宋体"/>
          <w:sz w:val="24"/>
          <w:szCs w:val="24"/>
        </w:rPr>
        <w:t xml:space="preserve">Indium </w:t>
      </w:r>
      <w:r>
        <w:rPr>
          <w:rFonts w:hint="eastAsia" w:ascii="宋体" w:hAnsi="宋体" w:eastAsia="宋体" w:cs="宋体"/>
          <w:sz w:val="24"/>
          <w:szCs w:val="24"/>
          <w:lang w:val="en-US" w:eastAsia="zh-CN"/>
        </w:rPr>
        <w:t>T</w:t>
      </w:r>
      <w:r>
        <w:rPr>
          <w:rFonts w:ascii="宋体" w:hAnsi="宋体" w:eastAsia="宋体" w:cs="宋体"/>
          <w:sz w:val="24"/>
          <w:szCs w:val="24"/>
        </w:rPr>
        <w:t xml:space="preserve">in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危险品分类：</w:t>
      </w:r>
      <w:r>
        <w:rPr>
          <w:rFonts w:hint="eastAsia" w:cs="宋体"/>
          <w:b w:val="0"/>
          <w:bCs w:val="0"/>
          <w:sz w:val="24"/>
          <w:szCs w:val="24"/>
          <w:lang w:val="en-US" w:eastAsia="zh-CN"/>
        </w:rPr>
        <w:t>普货</w:t>
      </w:r>
      <w:r>
        <w:rPr>
          <w:rFonts w:ascii="宋体" w:hAnsi="宋体" w:eastAsia="宋体" w:cs="宋体"/>
          <w:sz w:val="24"/>
          <w:szCs w:val="24"/>
        </w:rPr>
        <w:t>。</w:t>
      </w:r>
    </w:p>
    <w:p w14:paraId="4EC43E5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0"/>
        <w:spacing w:before="79" w:line="239" w:lineRule="auto"/>
        <w:ind w:left="463"/>
        <w:rPr>
          <w:rFonts w:hint="eastAsia" w:cs="宋体"/>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10"/>
        <w:spacing w:before="79" w:line="239" w:lineRule="auto"/>
        <w:ind w:left="463"/>
        <w:rPr>
          <w:rFonts w:ascii="宋体" w:hAnsi="宋体" w:eastAsia="宋体" w:cs="宋体"/>
          <w:sz w:val="24"/>
          <w:szCs w:val="24"/>
        </w:rPr>
      </w:pPr>
    </w:p>
    <w:p w14:paraId="67412441">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cs="宋体"/>
          <w:b/>
          <w:bCs/>
          <w:sz w:val="24"/>
          <w:szCs w:val="24"/>
          <w:lang w:val="en-US" w:eastAsia="zh-CN"/>
        </w:rPr>
        <w:t>适用法规</w:t>
      </w:r>
      <w:r>
        <w:rPr>
          <w:rFonts w:ascii="宋体" w:hAnsi="宋体" w:eastAsia="宋体" w:cs="宋体"/>
          <w:b/>
          <w:bCs/>
          <w:sz w:val="24"/>
          <w:szCs w:val="24"/>
        </w:rPr>
        <w:t>：</w:t>
      </w:r>
      <w:r>
        <w:rPr>
          <w:rFonts w:hint="eastAsia" w:ascii="宋体" w:hAnsi="宋体" w:eastAsia="宋体" w:cs="宋体"/>
          <w:sz w:val="24"/>
          <w:szCs w:val="24"/>
        </w:rPr>
        <w:t>中华人民共和国安全生产法</w:t>
      </w:r>
      <w:r>
        <w:rPr>
          <w:rFonts w:hint="eastAsia" w:cs="宋体"/>
          <w:sz w:val="24"/>
          <w:szCs w:val="24"/>
          <w:lang w:val="en-US" w:eastAsia="zh-CN"/>
        </w:rPr>
        <w:t>;</w:t>
      </w:r>
    </w:p>
    <w:p w14:paraId="2584A00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中华人民共和国职业病防治法</w:t>
      </w:r>
      <w:r>
        <w:rPr>
          <w:rFonts w:hint="eastAsia" w:cs="宋体"/>
          <w:sz w:val="24"/>
          <w:szCs w:val="24"/>
          <w:lang w:val="en-US" w:eastAsia="zh-CN"/>
        </w:rPr>
        <w:t>;</w:t>
      </w:r>
    </w:p>
    <w:p w14:paraId="24505BB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中华人民共和国环境保护法</w:t>
      </w:r>
      <w:r>
        <w:rPr>
          <w:rFonts w:hint="eastAsia" w:cs="宋体"/>
          <w:sz w:val="24"/>
          <w:szCs w:val="24"/>
          <w:lang w:val="en-US" w:eastAsia="zh-CN"/>
        </w:rPr>
        <w:t>;</w:t>
      </w:r>
    </w:p>
    <w:p w14:paraId="1F3F0EB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危险化学品安全管理条例</w:t>
      </w:r>
      <w:r>
        <w:rPr>
          <w:rFonts w:hint="eastAsia" w:cs="宋体"/>
          <w:sz w:val="24"/>
          <w:szCs w:val="24"/>
          <w:lang w:val="en-US" w:eastAsia="zh-CN"/>
        </w:rPr>
        <w:t>;</w:t>
      </w:r>
    </w:p>
    <w:p w14:paraId="7D57C2A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安全生产许可证条例</w:t>
      </w:r>
      <w:r>
        <w:rPr>
          <w:rFonts w:hint="eastAsia" w:cs="宋体"/>
          <w:sz w:val="24"/>
          <w:szCs w:val="24"/>
          <w:lang w:eastAsia="zh-CN"/>
        </w:rPr>
        <w:t>。</w:t>
      </w:r>
    </w:p>
    <w:p w14:paraId="3F3D6131">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bCs/>
          <w:sz w:val="24"/>
          <w:szCs w:val="24"/>
        </w:rPr>
        <w:t>Applicable regulations:</w:t>
      </w:r>
      <w:r>
        <w:rPr>
          <w:rFonts w:hint="eastAsia" w:ascii="宋体" w:hAnsi="宋体" w:eastAsia="宋体" w:cs="宋体"/>
          <w:b w:val="0"/>
          <w:bCs w:val="0"/>
          <w:sz w:val="24"/>
          <w:szCs w:val="24"/>
        </w:rPr>
        <w:t xml:space="preserve"> Production Safety Law of the People's Republic of China;</w:t>
      </w:r>
    </w:p>
    <w:p w14:paraId="31C13C51">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Occupational Disease Prevention and Control Law of the People's Republic of China;</w:t>
      </w:r>
    </w:p>
    <w:p w14:paraId="3F83AE82">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Environmental Protection Law of the People's Republic of China;</w:t>
      </w:r>
    </w:p>
    <w:p w14:paraId="6913489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the Safety Management of Hazardous Chemicals;</w:t>
      </w:r>
    </w:p>
    <w:p w14:paraId="21192003">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Production Safety Permits.</w:t>
      </w:r>
    </w:p>
    <w:p w14:paraId="1FBAFC8A">
      <w:pPr>
        <w:pStyle w:val="10"/>
        <w:spacing w:before="79" w:line="239" w:lineRule="auto"/>
        <w:rPr>
          <w:rFonts w:ascii="宋体" w:hAnsi="宋体" w:eastAsia="宋体" w:cs="宋体"/>
          <w:sz w:val="24"/>
          <w:szCs w:val="24"/>
        </w:rPr>
      </w:pPr>
    </w:p>
    <w:p w14:paraId="0AA7B50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16.其他信息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483B379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68F4B979">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0" w:firstLineChars="100"/>
        <w:textAlignment w:val="auto"/>
        <w:rPr>
          <w:rFonts w:hint="default" w:ascii="Times New Roman" w:hAnsi="Times New Roman" w:cs="宋体"/>
          <w:b/>
          <w:sz w:val="30"/>
          <w:szCs w:val="30"/>
          <w:lang w:val="en-US" w:eastAsia="zh-CN"/>
        </w:rPr>
      </w:pPr>
      <w:r>
        <w:rPr>
          <w:rFonts w:hint="eastAsia" w:asciiTheme="minorEastAsia" w:hAnsiTheme="minorEastAsia" w:eastAsiaTheme="minorEastAsia" w:cstheme="minorEastAsia"/>
          <w:sz w:val="24"/>
          <w:szCs w:val="24"/>
        </w:rPr>
        <w:br w:type="textWrapping"/>
      </w:r>
    </w:p>
    <w:p w14:paraId="71EBA352">
      <w:pPr>
        <w:numPr>
          <w:ilvl w:val="0"/>
          <w:numId w:val="0"/>
        </w:numPr>
        <w:jc w:val="left"/>
        <w:rPr>
          <w:rFonts w:hint="default" w:ascii="宋体" w:hAnsi="宋体" w:eastAsia="宋体" w:cs="宋体"/>
          <w:sz w:val="24"/>
          <w:szCs w:val="24"/>
          <w:lang w:val="en-US" w:eastAsia="zh-CN"/>
        </w:rPr>
      </w:pPr>
      <w:bookmarkStart w:id="0" w:name="_GoBack"/>
      <w:bookmarkEnd w:id="0"/>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4B0D73"/>
    <w:rsid w:val="00AF1302"/>
    <w:rsid w:val="01883901"/>
    <w:rsid w:val="01AF5332"/>
    <w:rsid w:val="02ED13F1"/>
    <w:rsid w:val="03DF1EFE"/>
    <w:rsid w:val="03F84EDA"/>
    <w:rsid w:val="08AA23AF"/>
    <w:rsid w:val="0902043D"/>
    <w:rsid w:val="0B7C44D7"/>
    <w:rsid w:val="0BB01C86"/>
    <w:rsid w:val="0BD95485"/>
    <w:rsid w:val="0E8C2C83"/>
    <w:rsid w:val="0FE258F1"/>
    <w:rsid w:val="10FC28A0"/>
    <w:rsid w:val="13203441"/>
    <w:rsid w:val="13225964"/>
    <w:rsid w:val="13E946D3"/>
    <w:rsid w:val="1562473D"/>
    <w:rsid w:val="16414353"/>
    <w:rsid w:val="16557DFE"/>
    <w:rsid w:val="17D11706"/>
    <w:rsid w:val="17EE050A"/>
    <w:rsid w:val="18D771F0"/>
    <w:rsid w:val="18DD40DB"/>
    <w:rsid w:val="19410B0E"/>
    <w:rsid w:val="194303E2"/>
    <w:rsid w:val="1B865F59"/>
    <w:rsid w:val="1C504CA2"/>
    <w:rsid w:val="1DA67266"/>
    <w:rsid w:val="1F240CB5"/>
    <w:rsid w:val="20A025BE"/>
    <w:rsid w:val="20A53008"/>
    <w:rsid w:val="25716855"/>
    <w:rsid w:val="26480B13"/>
    <w:rsid w:val="285E2CF4"/>
    <w:rsid w:val="2953641F"/>
    <w:rsid w:val="299F1664"/>
    <w:rsid w:val="29CB58F0"/>
    <w:rsid w:val="2AB949A8"/>
    <w:rsid w:val="2DEE40BE"/>
    <w:rsid w:val="30D53BBD"/>
    <w:rsid w:val="35571045"/>
    <w:rsid w:val="37E62B54"/>
    <w:rsid w:val="38E5425A"/>
    <w:rsid w:val="390E2362"/>
    <w:rsid w:val="399A59A4"/>
    <w:rsid w:val="39C66799"/>
    <w:rsid w:val="3CF732E8"/>
    <w:rsid w:val="3E8A248B"/>
    <w:rsid w:val="3EAF1EF2"/>
    <w:rsid w:val="3F23643C"/>
    <w:rsid w:val="3FA64F02"/>
    <w:rsid w:val="40EB51F7"/>
    <w:rsid w:val="437D25BE"/>
    <w:rsid w:val="43F9776B"/>
    <w:rsid w:val="44990915"/>
    <w:rsid w:val="466130BB"/>
    <w:rsid w:val="467B1EBE"/>
    <w:rsid w:val="46BC1F75"/>
    <w:rsid w:val="49F334A3"/>
    <w:rsid w:val="4F7D3946"/>
    <w:rsid w:val="4FCD40E3"/>
    <w:rsid w:val="50100316"/>
    <w:rsid w:val="520C2D5F"/>
    <w:rsid w:val="52642B9B"/>
    <w:rsid w:val="52E53CDC"/>
    <w:rsid w:val="53446C55"/>
    <w:rsid w:val="53A61294"/>
    <w:rsid w:val="541832B5"/>
    <w:rsid w:val="55C05B3D"/>
    <w:rsid w:val="57BE4AFC"/>
    <w:rsid w:val="59747B68"/>
    <w:rsid w:val="5BF572B0"/>
    <w:rsid w:val="5D355860"/>
    <w:rsid w:val="5DB02381"/>
    <w:rsid w:val="61D37ED8"/>
    <w:rsid w:val="63E33011"/>
    <w:rsid w:val="64B74DAD"/>
    <w:rsid w:val="6B032AFA"/>
    <w:rsid w:val="6EF235B1"/>
    <w:rsid w:val="6F0155FA"/>
    <w:rsid w:val="716B0C86"/>
    <w:rsid w:val="76EC6B38"/>
    <w:rsid w:val="787943FB"/>
    <w:rsid w:val="797B6EE2"/>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2003</Words>
  <Characters>5848</Characters>
  <Lines>0</Lines>
  <Paragraphs>0</Paragraphs>
  <TotalTime>0</TotalTime>
  <ScaleCrop>false</ScaleCrop>
  <LinksUpToDate>false</LinksUpToDate>
  <CharactersWithSpaces>11305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2024-09-26T02:56:26Z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06534F83DC634DC78EA79E88AD190D64_11</vt:lpwstr>
  </property>
</Properties>
</file>