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4C080D">
      <w:pPr>
        <w:pStyle w:val="2"/>
        <w:keepNext/>
        <w:keepLines/>
        <w:pageBreakBefore w:val="0"/>
        <w:widowControl w:val="0"/>
        <w:numPr>
          <w:ilvl w:val="0"/>
          <w:numId w:val="0"/>
        </w:numPr>
        <w:kinsoku/>
        <w:wordWrap/>
        <w:overflowPunct/>
        <w:topLinePunct w:val="0"/>
        <w:autoSpaceDE/>
        <w:autoSpaceDN/>
        <w:bidi w:val="0"/>
        <w:adjustRightInd/>
        <w:snapToGrid/>
        <w:spacing w:before="300" w:after="0" w:line="240" w:lineRule="auto"/>
        <w:jc w:val="center"/>
        <w:textAlignment w:val="auto"/>
        <w:rPr>
          <w:rFonts w:hint="eastAsia" w:ascii="宋体" w:hAnsi="宋体" w:eastAsia="宋体" w:cs="宋体"/>
          <w:b/>
          <w:bCs/>
          <w:sz w:val="44"/>
          <w:szCs w:val="36"/>
          <w:lang w:val="en-US" w:eastAsia="zh-CN"/>
        </w:rPr>
      </w:pPr>
      <w:r>
        <w:rPr>
          <w:rFonts w:hint="eastAsia" w:ascii="宋体" w:hAnsi="宋体" w:eastAsia="宋体" w:cs="宋体"/>
          <w:b/>
          <w:bCs/>
          <w:sz w:val="44"/>
          <w:szCs w:val="36"/>
          <w:lang w:val="en-US" w:eastAsia="zh-CN"/>
        </w:rPr>
        <w:t xml:space="preserve">                                                                                                                                                                                                                                                                                                                                                                                                                                                                                                                                                                                                                                                                                                                                                                                                                                                                                                                                                                                                                                                                                                                                                                                                                                                                                                                                                                                                                                                                                                                                                                                                                                                                                                                                                                                                                                                                                                                                                                                                                                                                                                                                                                                                                                                                                                                                                                                                                                                                                                                                                                                                                                                                                                                                                                                                                                                                                                                                                                                                                                                                                                                                                                                                                                                                                                                                                                                                                                                                                                                                                                                                                                                                                                                                                                                                                                                                                                                                                                                                                                                                                                                                                                                                                </w:t>
      </w:r>
      <w:r>
        <w:rPr>
          <w:rFonts w:hint="eastAsia" w:ascii="宋体" w:hAnsi="宋体" w:eastAsia="宋体" w:cs="宋体"/>
          <w:b/>
          <w:bCs/>
          <w:sz w:val="44"/>
          <w:szCs w:val="36"/>
          <w:lang w:val="en-US" w:eastAsia="zh-CN"/>
        </w:rPr>
        <w:t xml:space="preserve">                                                                                                                                                                                                                                                                                                                                                                                                                                                                                                                                                                                                                                                                   安全技术说明书MSDS</w:t>
      </w:r>
    </w:p>
    <w:p w14:paraId="05E4FC76">
      <w:pPr>
        <w:pStyle w:val="2"/>
        <w:keepNext/>
        <w:keepLines/>
        <w:pageBreakBefore w:val="0"/>
        <w:widowControl w:val="0"/>
        <w:numPr>
          <w:ilvl w:val="0"/>
          <w:numId w:val="0"/>
        </w:numPr>
        <w:kinsoku/>
        <w:wordWrap/>
        <w:overflowPunct/>
        <w:topLinePunct w:val="0"/>
        <w:autoSpaceDE/>
        <w:autoSpaceDN/>
        <w:bidi w:val="0"/>
        <w:adjustRightInd/>
        <w:snapToGrid/>
        <w:spacing w:before="0" w:after="300" w:line="240" w:lineRule="auto"/>
        <w:jc w:val="center"/>
        <w:textAlignment w:val="auto"/>
        <w:rPr>
          <w:rFonts w:hint="eastAsia" w:ascii="宋体" w:hAnsi="宋体" w:eastAsia="宋体" w:cs="宋体"/>
          <w:b/>
          <w:bCs/>
          <w:sz w:val="44"/>
          <w:lang w:val="en-US" w:eastAsia="zh-CN"/>
        </w:rPr>
      </w:pPr>
      <w:r>
        <w:rPr>
          <w:rFonts w:hint="eastAsia" w:ascii="宋体" w:hAnsi="宋体" w:eastAsia="宋体" w:cs="宋体"/>
          <w:b/>
          <w:bCs/>
          <w:sz w:val="44"/>
          <w:lang w:val="en-US" w:eastAsia="zh-CN"/>
        </w:rPr>
        <w:t>Safety Data Sheet MSDS</w:t>
      </w:r>
    </w:p>
    <w:p w14:paraId="01C7B65C">
      <w:pPr>
        <w:keepNext w:val="0"/>
        <w:keepLines w:val="0"/>
        <w:pageBreakBefore w:val="0"/>
        <w:widowControl w:val="0"/>
        <w:kinsoku/>
        <w:wordWrap/>
        <w:overflowPunct/>
        <w:topLinePunct w:val="0"/>
        <w:autoSpaceDE/>
        <w:autoSpaceDN/>
        <w:bidi w:val="0"/>
        <w:adjustRightInd/>
        <w:snapToGrid/>
        <w:spacing w:after="300"/>
        <w:jc w:val="center"/>
        <w:textAlignment w:val="auto"/>
        <w:rPr>
          <w:rFonts w:hint="eastAsia" w:ascii="宋体" w:hAnsi="宋体" w:eastAsia="宋体" w:cs="宋体"/>
          <w:b/>
          <w:bCs/>
          <w:sz w:val="44"/>
          <w:szCs w:val="36"/>
          <w:lang w:val="en-US" w:eastAsia="zh-CN"/>
        </w:rPr>
      </w:pPr>
      <w:r>
        <w:rPr>
          <w:rFonts w:hint="eastAsia" w:ascii="宋体" w:hAnsi="宋体" w:eastAsia="宋体" w:cs="宋体"/>
          <w:b/>
          <w:bCs/>
          <w:sz w:val="44"/>
          <w:szCs w:val="36"/>
          <w:lang w:val="en-US" w:eastAsia="zh-CN"/>
        </w:rPr>
        <w:t>氧化锡</w:t>
      </w:r>
    </w:p>
    <w:p w14:paraId="62D68C59">
      <w:pPr>
        <w:keepNext w:val="0"/>
        <w:keepLines w:val="0"/>
        <w:pageBreakBefore w:val="0"/>
        <w:widowControl w:val="0"/>
        <w:kinsoku/>
        <w:wordWrap/>
        <w:overflowPunct/>
        <w:topLinePunct w:val="0"/>
        <w:autoSpaceDE/>
        <w:autoSpaceDN/>
        <w:bidi w:val="0"/>
        <w:adjustRightInd/>
        <w:snapToGrid/>
        <w:spacing w:after="300"/>
        <w:jc w:val="center"/>
        <w:textAlignment w:val="auto"/>
        <w:rPr>
          <w:rFonts w:hint="eastAsia" w:ascii="宋体" w:hAnsi="宋体" w:eastAsia="宋体" w:cs="宋体"/>
          <w:b/>
          <w:bCs/>
          <w:sz w:val="44"/>
          <w:szCs w:val="44"/>
          <w:lang w:val="en-US" w:eastAsia="zh-CN"/>
        </w:rPr>
      </w:pPr>
      <w:r>
        <w:rPr>
          <w:rFonts w:ascii="宋体" w:hAnsi="宋体" w:eastAsia="宋体" w:cs="宋体"/>
          <w:b/>
          <w:bCs/>
          <w:sz w:val="44"/>
          <w:szCs w:val="44"/>
        </w:rPr>
        <w:t xml:space="preserve">Stannic </w:t>
      </w:r>
      <w:r>
        <w:rPr>
          <w:rFonts w:hint="eastAsia" w:ascii="宋体" w:hAnsi="宋体" w:eastAsia="宋体" w:cs="宋体"/>
          <w:b/>
          <w:bCs/>
          <w:sz w:val="44"/>
          <w:szCs w:val="44"/>
          <w:lang w:val="en-US" w:eastAsia="zh-CN"/>
        </w:rPr>
        <w:t>O</w:t>
      </w:r>
      <w:r>
        <w:rPr>
          <w:rFonts w:ascii="宋体" w:hAnsi="宋体" w:eastAsia="宋体" w:cs="宋体"/>
          <w:b/>
          <w:bCs/>
          <w:sz w:val="44"/>
          <w:szCs w:val="44"/>
        </w:rPr>
        <w:t>xide</w:t>
      </w:r>
      <w:r>
        <w:rPr>
          <w:rFonts w:hint="eastAsia" w:ascii="宋体" w:hAnsi="宋体" w:eastAsia="宋体" w:cs="宋体"/>
          <w:b/>
          <w:bCs/>
          <w:sz w:val="44"/>
          <w:szCs w:val="44"/>
          <w:lang w:val="en-US" w:eastAsia="zh-CN"/>
        </w:rPr>
        <w:t xml:space="preserve"> </w:t>
      </w:r>
    </w:p>
    <w:p w14:paraId="56BADD06">
      <w:pPr>
        <w:keepNext w:val="0"/>
        <w:keepLines w:val="0"/>
        <w:pageBreakBefore w:val="0"/>
        <w:widowControl w:val="0"/>
        <w:kinsoku/>
        <w:wordWrap/>
        <w:overflowPunct/>
        <w:topLinePunct w:val="0"/>
        <w:autoSpaceDE/>
        <w:autoSpaceDN/>
        <w:bidi w:val="0"/>
        <w:adjustRightInd/>
        <w:snapToGrid/>
        <w:spacing w:before="313" w:beforeLines="100" w:after="313" w:afterLines="1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bCs/>
          <w:sz w:val="44"/>
          <w:szCs w:val="36"/>
          <w:lang w:val="en-US" w:eastAsia="zh-CN"/>
        </w:rPr>
        <w:t xml:space="preserve">                              </w:t>
      </w:r>
      <w:r>
        <w:rPr>
          <w:rFonts w:hint="eastAsia" w:ascii="宋体" w:hAnsi="宋体" w:eastAsia="宋体" w:cs="宋体"/>
          <w:b w:val="0"/>
          <w:bCs w:val="0"/>
          <w:sz w:val="24"/>
          <w:szCs w:val="24"/>
          <w:lang w:val="en-US" w:eastAsia="zh-CN"/>
        </w:rPr>
        <w:t>编号:DXN2024MSDS</w:t>
      </w:r>
    </w:p>
    <w:p w14:paraId="315A9146">
      <w:pPr>
        <w:keepNext w:val="0"/>
        <w:keepLines w:val="0"/>
        <w:pageBreakBefore w:val="0"/>
        <w:widowControl w:val="0"/>
        <w:kinsoku/>
        <w:wordWrap/>
        <w:overflowPunct/>
        <w:topLinePunct w:val="0"/>
        <w:autoSpaceDE/>
        <w:autoSpaceDN/>
        <w:bidi w:val="0"/>
        <w:adjustRightInd/>
        <w:snapToGrid/>
        <w:spacing w:before="313" w:beforeLines="100" w:after="313" w:afterLines="10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初始版：DXN2018.11.1版</w:t>
      </w:r>
    </w:p>
    <w:p w14:paraId="1A30FBF8">
      <w:pPr>
        <w:keepNext w:val="0"/>
        <w:keepLines w:val="0"/>
        <w:pageBreakBefore w:val="0"/>
        <w:widowControl w:val="0"/>
        <w:kinsoku/>
        <w:wordWrap/>
        <w:overflowPunct/>
        <w:topLinePunct w:val="0"/>
        <w:autoSpaceDE/>
        <w:autoSpaceDN/>
        <w:bidi w:val="0"/>
        <w:adjustRightInd/>
        <w:snapToGrid/>
        <w:spacing w:before="313" w:beforeLines="100" w:after="313" w:afterLines="100"/>
        <w:ind w:left="240" w:hanging="240" w:hangingChars="10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修订日期：2024年8月1日</w:t>
      </w:r>
    </w:p>
    <w:p w14:paraId="53AE285D">
      <w:pPr>
        <w:keepNext w:val="0"/>
        <w:keepLines w:val="0"/>
        <w:pageBreakBefore w:val="0"/>
        <w:widowControl w:val="0"/>
        <w:numPr>
          <w:ilvl w:val="0"/>
          <w:numId w:val="1"/>
        </w:numPr>
        <w:kinsoku/>
        <w:wordWrap/>
        <w:overflowPunct/>
        <w:topLinePunct w:val="0"/>
        <w:autoSpaceDE/>
        <w:autoSpaceDN/>
        <w:bidi w:val="0"/>
        <w:adjustRightInd/>
        <w:snapToGrid/>
        <w:spacing w:before="71" w:line="360" w:lineRule="exact"/>
        <w:jc w:val="both"/>
        <w:textAlignment w:val="auto"/>
        <w:rPr>
          <w:rFonts w:hint="eastAsia" w:ascii="Times New Roman" w:hAnsi="Times New Roman" w:eastAsia="宋体" w:cstheme="majorEastAsia"/>
          <w:b/>
          <w:bCs w:val="0"/>
          <w:sz w:val="30"/>
          <w:szCs w:val="30"/>
          <w:lang w:val="en-US" w:eastAsia="zh-CN"/>
        </w:rPr>
      </w:pPr>
      <w:r>
        <w:rPr>
          <w:rFonts w:hint="eastAsia" w:ascii="Times New Roman" w:hAnsi="Times New Roman" w:eastAsia="宋体" w:cstheme="majorEastAsia"/>
          <w:b/>
          <w:bCs w:val="0"/>
          <w:sz w:val="30"/>
          <w:szCs w:val="30"/>
          <w:lang w:val="en-US" w:eastAsia="zh-CN"/>
        </w:rPr>
        <w:t>产品名称和制造商信息</w:t>
      </w:r>
    </w:p>
    <w:p w14:paraId="2F25AFD5">
      <w:pPr>
        <w:keepNext w:val="0"/>
        <w:keepLines w:val="0"/>
        <w:pageBreakBefore w:val="0"/>
        <w:widowControl w:val="0"/>
        <w:numPr>
          <w:ilvl w:val="0"/>
          <w:numId w:val="0"/>
        </w:numPr>
        <w:kinsoku/>
        <w:wordWrap/>
        <w:overflowPunct/>
        <w:topLinePunct w:val="0"/>
        <w:autoSpaceDE/>
        <w:autoSpaceDN/>
        <w:bidi w:val="0"/>
        <w:adjustRightInd/>
        <w:snapToGrid/>
        <w:spacing w:before="71" w:after="313" w:afterLines="100" w:line="360" w:lineRule="exact"/>
        <w:ind w:firstLine="301" w:firstLineChars="100"/>
        <w:jc w:val="both"/>
        <w:textAlignment w:val="auto"/>
        <w:rPr>
          <w:rFonts w:hint="eastAsia" w:ascii="Times New Roman" w:hAnsi="Times New Roman" w:eastAsia="宋体" w:cstheme="majorEastAsia"/>
          <w:b/>
          <w:bCs w:val="0"/>
          <w:sz w:val="30"/>
          <w:szCs w:val="30"/>
          <w:lang w:val="en-US" w:eastAsia="zh-CN"/>
        </w:rPr>
      </w:pPr>
      <w:r>
        <w:rPr>
          <w:rFonts w:hint="eastAsia" w:ascii="Times New Roman" w:hAnsi="Times New Roman" w:eastAsia="宋体" w:cstheme="majorEastAsia"/>
          <w:b/>
          <w:bCs w:val="0"/>
          <w:sz w:val="30"/>
          <w:szCs w:val="30"/>
          <w:lang w:val="en-US" w:eastAsia="zh-CN"/>
        </w:rPr>
        <w:t>Product name and manufacturer information</w:t>
      </w:r>
    </w:p>
    <w:p w14:paraId="5C660EA2">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ascii="Helvetica" w:hAnsi="Helvetica" w:eastAsia="Helvetica" w:cs="Helvetica"/>
          <w:i w:val="0"/>
          <w:iCs w:val="0"/>
          <w:caps w:val="0"/>
          <w:color w:val="333333"/>
          <w:spacing w:val="0"/>
          <w:sz w:val="24"/>
          <w:szCs w:val="24"/>
          <w:shd w:val="clear" w:fill="FFFFFF"/>
        </w:rPr>
      </w:pPr>
      <w:r>
        <w:rPr>
          <w:rFonts w:hint="eastAsia" w:asciiTheme="minorEastAsia" w:hAnsiTheme="minorEastAsia" w:eastAsiaTheme="minorEastAsia" w:cstheme="minorEastAsia"/>
          <w:b/>
          <w:bCs w:val="0"/>
          <w:sz w:val="24"/>
          <w:szCs w:val="24"/>
        </w:rPr>
        <w:t>产品中文名称：</w:t>
      </w:r>
      <w:r>
        <w:rPr>
          <w:rFonts w:hint="eastAsia" w:asciiTheme="minorEastAsia" w:hAnsiTheme="minorEastAsia" w:cstheme="minorEastAsia"/>
          <w:b w:val="0"/>
          <w:bCs/>
          <w:sz w:val="24"/>
          <w:szCs w:val="24"/>
          <w:lang w:val="en-US" w:eastAsia="zh-CN"/>
        </w:rPr>
        <w:t>氧化锡</w:t>
      </w:r>
      <w:r>
        <w:rPr>
          <w:rFonts w:hint="eastAsia" w:asciiTheme="minorEastAsia" w:hAnsiTheme="minorEastAsia" w:eastAsiaTheme="minorEastAsia" w:cstheme="minorEastAsia"/>
          <w:b/>
          <w:bCs w:val="0"/>
          <w:sz w:val="24"/>
          <w:szCs w:val="24"/>
        </w:rPr>
        <w:t>Product Chinese name:</w:t>
      </w:r>
      <w:r>
        <w:rPr>
          <w:rFonts w:hint="eastAsia" w:asciiTheme="minorEastAsia" w:hAnsiTheme="minorEastAsia" w:eastAsiaTheme="minorEastAsia" w:cstheme="minorEastAsia"/>
          <w:b w:val="0"/>
          <w:bCs/>
          <w:sz w:val="24"/>
          <w:szCs w:val="24"/>
        </w:rPr>
        <w:t xml:space="preserve"> </w:t>
      </w:r>
      <w:r>
        <w:rPr>
          <w:rFonts w:ascii="宋体" w:hAnsi="宋体" w:eastAsia="宋体" w:cs="宋体"/>
          <w:sz w:val="24"/>
          <w:szCs w:val="24"/>
        </w:rPr>
        <w:t>Stannic </w:t>
      </w:r>
      <w:r>
        <w:rPr>
          <w:rFonts w:hint="eastAsia" w:ascii="宋体" w:hAnsi="宋体" w:eastAsia="宋体" w:cs="宋体"/>
          <w:sz w:val="24"/>
          <w:szCs w:val="24"/>
          <w:lang w:val="en-US" w:eastAsia="zh-CN"/>
        </w:rPr>
        <w:t>O</w:t>
      </w:r>
      <w:r>
        <w:rPr>
          <w:rFonts w:ascii="宋体" w:hAnsi="宋体" w:eastAsia="宋体" w:cs="宋体"/>
          <w:sz w:val="24"/>
          <w:szCs w:val="24"/>
        </w:rPr>
        <w:t>xide</w:t>
      </w:r>
    </w:p>
    <w:p w14:paraId="43AFC0C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val="0"/>
          <w:sz w:val="24"/>
          <w:szCs w:val="24"/>
        </w:rPr>
        <w:t>产品英文名称</w:t>
      </w:r>
      <w:r>
        <w:rPr>
          <w:rFonts w:hint="eastAsia" w:asciiTheme="minorEastAsia" w:hAnsiTheme="minorEastAsia" w:cstheme="minorEastAsia"/>
          <w:b/>
          <w:bCs w:val="0"/>
          <w:sz w:val="24"/>
          <w:szCs w:val="24"/>
          <w:lang w:eastAsia="zh-CN"/>
        </w:rPr>
        <w:t>：</w:t>
      </w:r>
      <w:r>
        <w:rPr>
          <w:rFonts w:ascii="宋体" w:hAnsi="宋体" w:eastAsia="宋体" w:cs="宋体"/>
          <w:sz w:val="24"/>
          <w:szCs w:val="24"/>
        </w:rPr>
        <w:t>Stannic </w:t>
      </w:r>
      <w:r>
        <w:rPr>
          <w:rFonts w:hint="eastAsia" w:ascii="宋体" w:hAnsi="宋体" w:eastAsia="宋体" w:cs="宋体"/>
          <w:sz w:val="24"/>
          <w:szCs w:val="24"/>
          <w:lang w:val="en-US" w:eastAsia="zh-CN"/>
        </w:rPr>
        <w:t>O</w:t>
      </w:r>
      <w:r>
        <w:rPr>
          <w:rFonts w:ascii="宋体" w:hAnsi="宋体" w:eastAsia="宋体" w:cs="宋体"/>
          <w:sz w:val="24"/>
          <w:szCs w:val="24"/>
        </w:rPr>
        <w:t>xide</w:t>
      </w:r>
    </w:p>
    <w:p w14:paraId="07E518B2">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ascii="宋体" w:hAnsi="宋体" w:eastAsia="宋体" w:cs="宋体"/>
          <w:sz w:val="24"/>
          <w:szCs w:val="24"/>
        </w:rPr>
      </w:pPr>
      <w:r>
        <w:rPr>
          <w:rFonts w:hint="eastAsia" w:asciiTheme="minorEastAsia" w:hAnsiTheme="minorEastAsia" w:eastAsiaTheme="minorEastAsia" w:cstheme="minorEastAsia"/>
          <w:b/>
          <w:bCs w:val="0"/>
          <w:sz w:val="24"/>
          <w:szCs w:val="24"/>
        </w:rPr>
        <w:t>Product English name:</w:t>
      </w:r>
      <w:r>
        <w:rPr>
          <w:rFonts w:hint="eastAsia" w:asciiTheme="minorEastAsia" w:hAnsiTheme="minorEastAsia" w:eastAsiaTheme="minorEastAsia" w:cstheme="minorEastAsia"/>
          <w:b w:val="0"/>
          <w:bCs/>
          <w:sz w:val="24"/>
          <w:szCs w:val="24"/>
        </w:rPr>
        <w:t xml:space="preserve">  </w:t>
      </w:r>
      <w:r>
        <w:rPr>
          <w:rFonts w:ascii="宋体" w:hAnsi="宋体" w:eastAsia="宋体" w:cs="宋体"/>
          <w:sz w:val="24"/>
          <w:szCs w:val="24"/>
        </w:rPr>
        <w:t>Stannic </w:t>
      </w:r>
      <w:r>
        <w:rPr>
          <w:rFonts w:hint="eastAsia" w:ascii="宋体" w:hAnsi="宋体" w:eastAsia="宋体" w:cs="宋体"/>
          <w:sz w:val="24"/>
          <w:szCs w:val="24"/>
          <w:lang w:val="en-US" w:eastAsia="zh-CN"/>
        </w:rPr>
        <w:t>O</w:t>
      </w:r>
      <w:r>
        <w:rPr>
          <w:rFonts w:ascii="宋体" w:hAnsi="宋体" w:eastAsia="宋体" w:cs="宋体"/>
          <w:sz w:val="24"/>
          <w:szCs w:val="24"/>
        </w:rPr>
        <w:t>xide</w:t>
      </w:r>
    </w:p>
    <w:p w14:paraId="0DDC1D35">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宋体" w:hAnsi="宋体" w:eastAsia="宋体" w:cs="宋体"/>
          <w:sz w:val="24"/>
          <w:szCs w:val="24"/>
          <w:lang w:val="en-US" w:eastAsia="zh-CN"/>
        </w:rPr>
      </w:pPr>
      <w:r>
        <w:rPr>
          <w:rFonts w:hint="eastAsia" w:asciiTheme="minorEastAsia" w:hAnsiTheme="minorEastAsia" w:eastAsiaTheme="minorEastAsia" w:cstheme="minorEastAsia"/>
          <w:b/>
          <w:bCs w:val="0"/>
          <w:sz w:val="24"/>
          <w:szCs w:val="24"/>
        </w:rPr>
        <w:t>CAS No</w:t>
      </w:r>
      <w:r>
        <w:rPr>
          <w:rFonts w:hint="eastAsia" w:asciiTheme="minorEastAsia" w:hAnsiTheme="minorEastAsia" w:eastAsiaTheme="minorEastAsia" w:cstheme="minorEastAsia"/>
          <w:b w:val="0"/>
          <w:bCs/>
          <w:sz w:val="24"/>
          <w:szCs w:val="24"/>
        </w:rPr>
        <w:t>.：</w:t>
      </w:r>
      <w:r>
        <w:rPr>
          <w:rFonts w:hint="eastAsia" w:ascii="宋体" w:hAnsi="宋体" w:eastAsia="宋体" w:cs="宋体"/>
          <w:sz w:val="24"/>
          <w:szCs w:val="24"/>
          <w:lang w:val="en-US" w:eastAsia="zh-CN"/>
        </w:rPr>
        <w:t>18282</w:t>
      </w:r>
      <w:r>
        <w:rPr>
          <w:rFonts w:ascii="宋体" w:hAnsi="宋体" w:eastAsia="宋体" w:cs="宋体"/>
          <w:sz w:val="24"/>
          <w:szCs w:val="24"/>
        </w:rPr>
        <w:t>-</w:t>
      </w:r>
      <w:r>
        <w:rPr>
          <w:rFonts w:hint="eastAsia" w:ascii="宋体" w:hAnsi="宋体" w:eastAsia="宋体" w:cs="宋体"/>
          <w:sz w:val="24"/>
          <w:szCs w:val="24"/>
          <w:lang w:val="en-US" w:eastAsia="zh-CN"/>
        </w:rPr>
        <w:t>10</w:t>
      </w:r>
      <w:r>
        <w:rPr>
          <w:rFonts w:ascii="宋体" w:hAnsi="宋体" w:eastAsia="宋体" w:cs="宋体"/>
          <w:sz w:val="24"/>
          <w:szCs w:val="24"/>
        </w:rPr>
        <w:t>-</w:t>
      </w:r>
      <w:r>
        <w:rPr>
          <w:rFonts w:hint="eastAsia" w:ascii="宋体" w:hAnsi="宋体" w:eastAsia="宋体" w:cs="宋体"/>
          <w:sz w:val="24"/>
          <w:szCs w:val="24"/>
          <w:lang w:val="en-US" w:eastAsia="zh-CN"/>
        </w:rPr>
        <w:t>5</w:t>
      </w:r>
    </w:p>
    <w:p w14:paraId="70BD9695">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型号Model：</w:t>
      </w:r>
      <w:r>
        <w:rPr>
          <w:rFonts w:hint="eastAsia" w:ascii="宋体" w:hAnsi="宋体" w:eastAsia="宋体" w:cs="宋体"/>
          <w:b w:val="0"/>
          <w:bCs w:val="0"/>
          <w:sz w:val="24"/>
          <w:szCs w:val="24"/>
          <w:lang w:val="en-US" w:eastAsia="zh-CN"/>
        </w:rPr>
        <w:t>DXN-SY30.</w:t>
      </w:r>
    </w:p>
    <w:p w14:paraId="1E988534">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宋体" w:hAnsi="宋体" w:cs="宋体" w:eastAsiaTheme="minorEastAsia"/>
          <w:sz w:val="24"/>
          <w:szCs w:val="24"/>
          <w:lang w:val="en-US" w:eastAsia="zh-CN"/>
        </w:rPr>
      </w:pPr>
      <w:r>
        <w:rPr>
          <w:rFonts w:hint="eastAsia" w:asciiTheme="minorEastAsia" w:hAnsiTheme="minorEastAsia" w:eastAsiaTheme="minorEastAsia" w:cstheme="minorEastAsia"/>
          <w:b/>
          <w:bCs w:val="0"/>
          <w:sz w:val="24"/>
          <w:szCs w:val="24"/>
        </w:rPr>
        <w:t>分子式：</w:t>
      </w:r>
      <w:r>
        <w:rPr>
          <w:rFonts w:ascii="宋体" w:hAnsi="宋体" w:eastAsia="宋体" w:cs="宋体"/>
          <w:sz w:val="24"/>
          <w:szCs w:val="24"/>
        </w:rPr>
        <w:t>SnO2</w:t>
      </w:r>
    </w:p>
    <w:p w14:paraId="010FF863">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sz w:val="24"/>
          <w:szCs w:val="24"/>
        </w:rPr>
        <w:t>Molecular formula</w:t>
      </w:r>
      <w:r>
        <w:rPr>
          <w:rFonts w:hint="eastAsia" w:asciiTheme="minorEastAsia" w:hAnsiTheme="minorEastAsia" w:cstheme="minorEastAsia"/>
          <w:b/>
          <w:bCs/>
          <w:sz w:val="24"/>
          <w:szCs w:val="24"/>
          <w:lang w:val="en-US" w:eastAsia="zh-CN"/>
        </w:rPr>
        <w:t>:</w:t>
      </w:r>
      <w:r>
        <w:rPr>
          <w:rFonts w:hint="eastAsia" w:asciiTheme="minorEastAsia" w:hAnsiTheme="minorEastAsia" w:eastAsiaTheme="minorEastAsia" w:cstheme="minorEastAsia"/>
          <w:b w:val="0"/>
          <w:bCs/>
          <w:sz w:val="24"/>
          <w:szCs w:val="24"/>
        </w:rPr>
        <w:t xml:space="preserve"> </w:t>
      </w:r>
      <w:r>
        <w:rPr>
          <w:rFonts w:ascii="宋体" w:hAnsi="宋体" w:eastAsia="宋体" w:cs="宋体"/>
          <w:sz w:val="24"/>
          <w:szCs w:val="24"/>
        </w:rPr>
        <w:t>SnO2</w:t>
      </w:r>
    </w:p>
    <w:p w14:paraId="2EDD90DE">
      <w:pPr>
        <w:pStyle w:val="2"/>
        <w:keepNext/>
        <w:keepLines/>
        <w:pageBreakBefore w:val="0"/>
        <w:widowControl w:val="0"/>
        <w:numPr>
          <w:ilvl w:val="0"/>
          <w:numId w:val="0"/>
        </w:numPr>
        <w:kinsoku/>
        <w:wordWrap/>
        <w:overflowPunct/>
        <w:topLinePunct w:val="0"/>
        <w:autoSpaceDE/>
        <w:autoSpaceDN/>
        <w:bidi w:val="0"/>
        <w:adjustRightInd/>
        <w:snapToGrid/>
        <w:spacing w:before="0" w:after="0" w:line="360" w:lineRule="exact"/>
        <w:ind w:firstLine="241" w:firstLineChars="100"/>
        <w:jc w:val="both"/>
        <w:textAlignment w:val="auto"/>
        <w:rPr>
          <w:rFonts w:hint="default"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sz w:val="24"/>
          <w:szCs w:val="24"/>
        </w:rPr>
        <w:t>分子量</w:t>
      </w:r>
      <w:r>
        <w:rPr>
          <w:rFonts w:hint="eastAsia" w:asciiTheme="minorEastAsia" w:hAnsiTheme="minorEastAsia" w:eastAsiaTheme="minorEastAsia" w:cstheme="minorEastAsia"/>
          <w:b/>
          <w:bCs w:val="0"/>
          <w:sz w:val="24"/>
          <w:szCs w:val="24"/>
        </w:rPr>
        <w:t>：</w:t>
      </w:r>
      <w:r>
        <w:rPr>
          <w:rFonts w:hint="eastAsia" w:asciiTheme="minorEastAsia" w:hAnsiTheme="minorEastAsia" w:cstheme="minorEastAsia"/>
          <w:b w:val="0"/>
          <w:bCs/>
          <w:sz w:val="24"/>
          <w:szCs w:val="24"/>
          <w:lang w:val="en-US" w:eastAsia="zh-CN"/>
        </w:rPr>
        <w:t>150.69</w:t>
      </w:r>
    </w:p>
    <w:p w14:paraId="44537C7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Theme="minorEastAsia" w:hAnsiTheme="minorEastAsia" w:cstheme="minorEastAsia"/>
          <w:sz w:val="24"/>
          <w:szCs w:val="24"/>
          <w:lang w:val="en-US" w:eastAsia="zh-CN"/>
        </w:rPr>
      </w:pPr>
      <w:r>
        <w:rPr>
          <w:rFonts w:hint="eastAsia" w:asciiTheme="minorEastAsia" w:hAnsiTheme="minorEastAsia" w:eastAsiaTheme="minorEastAsia" w:cstheme="minorEastAsia"/>
          <w:b/>
          <w:bCs/>
          <w:sz w:val="24"/>
          <w:szCs w:val="24"/>
        </w:rPr>
        <w:t>Molecular weight</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 xml:space="preserve"> </w:t>
      </w:r>
      <w:r>
        <w:rPr>
          <w:rFonts w:hint="eastAsia" w:asciiTheme="minorEastAsia" w:hAnsiTheme="minorEastAsia" w:cstheme="minorEastAsia"/>
          <w:b w:val="0"/>
          <w:bCs/>
          <w:sz w:val="24"/>
          <w:szCs w:val="24"/>
          <w:lang w:val="en-US" w:eastAsia="zh-CN"/>
        </w:rPr>
        <w:t>150.69</w:t>
      </w:r>
    </w:p>
    <w:p w14:paraId="513D432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供应商</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达西浓纳米科技（常州）有限公司</w:t>
      </w:r>
    </w:p>
    <w:p w14:paraId="27AA3053">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Theme="minorEastAsia" w:hAnsiTheme="minorEastAsia" w:eastAsiaTheme="minorEastAsia" w:cstheme="minorEastAsia"/>
          <w:b/>
          <w:bCs/>
          <w:sz w:val="24"/>
          <w:szCs w:val="24"/>
        </w:rPr>
        <w:t>Supplier</w:t>
      </w:r>
      <w:r>
        <w:rPr>
          <w:rFonts w:hint="eastAsia" w:asciiTheme="minorEastAsia" w:hAnsiTheme="minorEastAsia" w:eastAsiaTheme="minorEastAsia" w:cstheme="minorEastAsia"/>
          <w:sz w:val="24"/>
          <w:szCs w:val="24"/>
        </w:rPr>
        <w:t xml:space="preserve">: </w:t>
      </w:r>
      <w:r>
        <w:rPr>
          <w:rFonts w:ascii="宋体" w:hAnsi="宋体" w:eastAsia="宋体" w:cs="宋体"/>
          <w:sz w:val="24"/>
          <w:szCs w:val="24"/>
        </w:rPr>
        <w:t>DASHINOU NANO TECHNOLOGY（CHANG ZHOU）CO.，LTD.</w:t>
      </w:r>
    </w:p>
    <w:p w14:paraId="70DF8DBE">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生产厂商</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山东科纳达新材料科技有限公司</w:t>
      </w:r>
    </w:p>
    <w:p w14:paraId="4624C89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rPr>
        <w:t>Manufacturer</w:t>
      </w:r>
      <w:r>
        <w:rPr>
          <w:rFonts w:hint="eastAsia" w:asciiTheme="minorEastAsia" w:hAnsiTheme="minorEastAsia" w:eastAsiaTheme="minorEastAsia" w:cstheme="minorEastAsia"/>
          <w:b/>
          <w:bCs w:val="0"/>
          <w:sz w:val="24"/>
          <w:szCs w:val="24"/>
        </w:rPr>
        <w:t xml:space="preserve">: </w:t>
      </w:r>
      <w:r>
        <w:rPr>
          <w:rFonts w:hint="eastAsia" w:asciiTheme="minorEastAsia" w:hAnsiTheme="minorEastAsia" w:eastAsiaTheme="minorEastAsia" w:cstheme="minorEastAsia"/>
          <w:sz w:val="24"/>
          <w:szCs w:val="24"/>
        </w:rPr>
        <w:t>Shandong Konada New Material Technology Co., Ltd.</w:t>
      </w:r>
    </w:p>
    <w:p w14:paraId="789F58A4">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地址：</w:t>
      </w:r>
      <w:r>
        <w:rPr>
          <w:rFonts w:hint="eastAsia" w:asciiTheme="minorEastAsia" w:hAnsiTheme="minorEastAsia" w:eastAsiaTheme="minorEastAsia" w:cstheme="minorEastAsia"/>
          <w:sz w:val="24"/>
          <w:szCs w:val="24"/>
        </w:rPr>
        <w:t>常州市新北区辽河路901号新科创大楼A座第四层41</w:t>
      </w:r>
      <w:r>
        <w:rPr>
          <w:rFonts w:hint="eastAsia" w:asciiTheme="minorEastAsia" w:hAnsiTheme="minorEastAsia" w:cstheme="minorEastAsia"/>
          <w:sz w:val="24"/>
          <w:szCs w:val="24"/>
          <w:lang w:val="en-US" w:eastAsia="zh-CN"/>
        </w:rPr>
        <w:t>0</w:t>
      </w:r>
      <w:r>
        <w:rPr>
          <w:rFonts w:hint="eastAsia" w:asciiTheme="minorEastAsia" w:hAnsiTheme="minorEastAsia" w:eastAsiaTheme="minorEastAsia" w:cstheme="minorEastAsia"/>
          <w:sz w:val="24"/>
          <w:szCs w:val="24"/>
        </w:rPr>
        <w:t>号</w:t>
      </w:r>
    </w:p>
    <w:p w14:paraId="59071748">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rPr>
        <w:t>Address:</w:t>
      </w:r>
      <w:r>
        <w:rPr>
          <w:rFonts w:hint="eastAsia" w:asciiTheme="minorEastAsia" w:hAnsiTheme="minorEastAsia" w:eastAsiaTheme="minorEastAsia" w:cstheme="minorEastAsia"/>
          <w:sz w:val="24"/>
          <w:szCs w:val="24"/>
        </w:rPr>
        <w:t xml:space="preserve"> Room 410, 4th Floor, Building A, New Science and Technology Innovation Building, No. 901 Liaohe Road, Xinbei District, Changzhou</w:t>
      </w:r>
    </w:p>
    <w:p w14:paraId="236CD5FB">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电话/传真：</w:t>
      </w:r>
      <w:r>
        <w:rPr>
          <w:rFonts w:hint="eastAsia" w:asciiTheme="minorEastAsia" w:hAnsiTheme="minorEastAsia" w:eastAsiaTheme="minorEastAsia" w:cstheme="minorEastAsia"/>
          <w:sz w:val="24"/>
          <w:szCs w:val="24"/>
        </w:rPr>
        <w:t>+86-0519-85558068</w:t>
      </w:r>
    </w:p>
    <w:p w14:paraId="5E8DA115">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rPr>
        <w:t>Tel/Fax:</w:t>
      </w:r>
      <w:r>
        <w:rPr>
          <w:rFonts w:hint="eastAsia" w:asciiTheme="minorEastAsia" w:hAnsiTheme="minorEastAsia" w:eastAsiaTheme="minorEastAsia" w:cstheme="minorEastAsia"/>
          <w:sz w:val="24"/>
          <w:szCs w:val="24"/>
        </w:rPr>
        <w:t xml:space="preserve"> +86-0519-85558068</w:t>
      </w:r>
    </w:p>
    <w:p w14:paraId="0B4F37B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紧急联系电话：</w:t>
      </w:r>
      <w:r>
        <w:rPr>
          <w:rFonts w:hint="eastAsia" w:asciiTheme="minorEastAsia" w:hAnsiTheme="minorEastAsia" w:eastAsiaTheme="minorEastAsia" w:cstheme="minorEastAsia"/>
          <w:sz w:val="24"/>
          <w:szCs w:val="24"/>
        </w:rPr>
        <w:t>+86-0519-85558068</w:t>
      </w:r>
    </w:p>
    <w:p w14:paraId="4405B230">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Emergency contact number:</w:t>
      </w:r>
      <w:r>
        <w:rPr>
          <w:rFonts w:hint="eastAsia" w:asciiTheme="minorEastAsia" w:hAnsiTheme="minorEastAsia" w:eastAsiaTheme="minorEastAsia" w:cstheme="minorEastAsia"/>
          <w:sz w:val="24"/>
          <w:szCs w:val="24"/>
          <w:lang w:val="en-US" w:eastAsia="zh-CN"/>
        </w:rPr>
        <w:t xml:space="preserve"> +86-0519-85558068</w:t>
      </w:r>
    </w:p>
    <w:p w14:paraId="1BA8DD52">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val="en-US" w:eastAsia="zh-CN"/>
        </w:rPr>
      </w:pPr>
    </w:p>
    <w:p w14:paraId="7417523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theme="minorEastAsia"/>
          <w:b/>
          <w:sz w:val="30"/>
          <w:szCs w:val="30"/>
          <w:lang w:val="en-US" w:eastAsia="zh-CN"/>
        </w:rPr>
      </w:pPr>
      <w:r>
        <w:rPr>
          <w:rFonts w:hint="eastAsia" w:ascii="Times New Roman" w:hAnsi="Times New Roman" w:eastAsia="宋体" w:cstheme="minorEastAsia"/>
          <w:b/>
          <w:sz w:val="30"/>
          <w:szCs w:val="30"/>
          <w:lang w:val="en-US" w:eastAsia="zh-CN"/>
        </w:rPr>
        <w:t>2.成分/组成信息</w:t>
      </w:r>
    </w:p>
    <w:p w14:paraId="366463F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eastAsia" w:ascii="Times New Roman" w:hAnsi="Times New Roman" w:eastAsia="宋体" w:cstheme="minorEastAsia"/>
          <w:b/>
          <w:sz w:val="30"/>
          <w:szCs w:val="30"/>
          <w:lang w:val="en-US" w:eastAsia="zh-CN"/>
        </w:rPr>
      </w:pPr>
      <w:r>
        <w:rPr>
          <w:rFonts w:hint="eastAsia" w:ascii="Times New Roman" w:hAnsi="Times New Roman" w:eastAsia="宋体" w:cstheme="minorEastAsia"/>
          <w:b/>
          <w:sz w:val="30"/>
          <w:szCs w:val="30"/>
          <w:lang w:val="en-US" w:eastAsia="zh-CN"/>
        </w:rPr>
        <w:t>Composition/ingredient information</w:t>
      </w:r>
    </w:p>
    <w:p w14:paraId="64EF1D92">
      <w:pPr>
        <w:numPr>
          <w:ilvl w:val="0"/>
          <w:numId w:val="0"/>
        </w:numPr>
        <w:ind w:leftChars="0"/>
        <w:jc w:val="left"/>
        <w:rPr>
          <w:rFonts w:hint="eastAsia" w:ascii="Times New Roman" w:hAnsi="Times New Roman" w:eastAsia="宋体" w:cstheme="minorEastAsia"/>
          <w:b/>
          <w:sz w:val="24"/>
          <w:szCs w:val="24"/>
          <w:lang w:val="en-US" w:eastAsia="zh-CN"/>
        </w:rPr>
      </w:pPr>
    </w:p>
    <w:p w14:paraId="72A6FD35">
      <w:pPr>
        <w:numPr>
          <w:ilvl w:val="0"/>
          <w:numId w:val="0"/>
        </w:numPr>
        <w:ind w:leftChars="0"/>
        <w:jc w:val="left"/>
        <w:rPr>
          <w:rFonts w:ascii="宋体" w:hAnsi="宋体" w:eastAsia="宋体" w:cs="宋体"/>
          <w:sz w:val="24"/>
          <w:szCs w:val="24"/>
        </w:rPr>
      </w:pPr>
      <w:r>
        <w:rPr>
          <w:rFonts w:hint="eastAsia" w:ascii="Calibri" w:hAnsi="Calibri" w:eastAsia="Calibri" w:cs="Calibri"/>
          <w:sz w:val="22"/>
          <w:szCs w:val="22"/>
          <w:lang w:val="en-US" w:eastAsia="zh-CN"/>
        </w:rPr>
        <w:t xml:space="preserve"> </w:t>
      </w:r>
      <w:r>
        <w:rPr>
          <w:rFonts w:hint="eastAsia" w:ascii="Calibri" w:hAnsi="Calibri" w:eastAsia="Calibri" w:cs="Calibri"/>
          <w:b/>
          <w:bCs/>
          <w:sz w:val="28"/>
          <w:szCs w:val="28"/>
          <w:lang w:val="en-US" w:eastAsia="zh-CN"/>
        </w:rPr>
        <w:t xml:space="preserve"> </w:t>
      </w:r>
      <w:r>
        <w:rPr>
          <w:rFonts w:ascii="宋体" w:hAnsi="宋体" w:eastAsia="宋体" w:cs="宋体"/>
          <w:b/>
          <w:bCs/>
          <w:sz w:val="24"/>
          <w:szCs w:val="24"/>
        </w:rPr>
        <w:t>描述：</w:t>
      </w:r>
      <w:r>
        <w:rPr>
          <w:rFonts w:ascii="宋体" w:hAnsi="宋体" w:eastAsia="宋体" w:cs="宋体"/>
          <w:sz w:val="24"/>
          <w:szCs w:val="24"/>
        </w:rPr>
        <w:t>物质成分配比</w:t>
      </w:r>
    </w:p>
    <w:p w14:paraId="300677F4">
      <w:pPr>
        <w:numPr>
          <w:ilvl w:val="0"/>
          <w:numId w:val="0"/>
        </w:numPr>
        <w:ind w:left="239" w:leftChars="114" w:firstLine="0" w:firstLineChars="0"/>
        <w:jc w:val="left"/>
        <w:rPr>
          <w:rFonts w:hint="eastAsia" w:ascii="宋体" w:hAnsi="宋体" w:eastAsia="宋体" w:cs="宋体"/>
          <w:sz w:val="24"/>
          <w:szCs w:val="24"/>
        </w:rPr>
      </w:pPr>
      <w:r>
        <w:rPr>
          <w:rFonts w:hint="eastAsia" w:ascii="宋体" w:hAnsi="宋体" w:eastAsia="宋体" w:cs="宋体"/>
          <w:b/>
          <w:bCs/>
          <w:sz w:val="24"/>
          <w:szCs w:val="24"/>
        </w:rPr>
        <w:t>Description:</w:t>
      </w:r>
      <w:r>
        <w:rPr>
          <w:rFonts w:hint="eastAsia" w:ascii="宋体" w:hAnsi="宋体" w:eastAsia="宋体" w:cs="宋体"/>
          <w:sz w:val="24"/>
          <w:szCs w:val="24"/>
        </w:rPr>
        <w:t xml:space="preserve"> Material composition ratio</w:t>
      </w:r>
    </w:p>
    <w:tbl>
      <w:tblPr>
        <w:tblStyle w:val="7"/>
        <w:tblW w:w="0" w:type="auto"/>
        <w:tblInd w:w="3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46"/>
        <w:gridCol w:w="2190"/>
        <w:gridCol w:w="2789"/>
      </w:tblGrid>
      <w:tr w14:paraId="0644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6" w:type="dxa"/>
            <w:vAlign w:val="center"/>
          </w:tcPr>
          <w:p w14:paraId="385BE0F8">
            <w:pPr>
              <w:numPr>
                <w:ilvl w:val="0"/>
                <w:numId w:val="0"/>
              </w:numPr>
              <w:jc w:val="center"/>
              <w:rPr>
                <w:rFonts w:hint="eastAsia" w:ascii="宋体" w:hAnsi="宋体" w:eastAsia="宋体" w:cs="宋体"/>
                <w:b/>
                <w:bCs/>
                <w:spacing w:val="-2"/>
                <w:sz w:val="24"/>
                <w:szCs w:val="24"/>
              </w:rPr>
            </w:pPr>
            <w:r>
              <w:rPr>
                <w:rFonts w:hint="eastAsia" w:ascii="宋体" w:hAnsi="宋体" w:eastAsia="宋体" w:cs="宋体"/>
                <w:b/>
                <w:bCs/>
                <w:spacing w:val="-2"/>
                <w:sz w:val="24"/>
                <w:szCs w:val="24"/>
              </w:rPr>
              <w:t>物质成分名称</w:t>
            </w:r>
          </w:p>
          <w:p w14:paraId="2A5C043C">
            <w:pPr>
              <w:numPr>
                <w:ilvl w:val="0"/>
                <w:numId w:val="0"/>
              </w:numPr>
              <w:ind w:left="0" w:leftChars="0" w:firstLine="0" w:firstLineChars="0"/>
              <w:jc w:val="center"/>
              <w:rPr>
                <w:rFonts w:hint="eastAsia" w:ascii="宋体" w:hAnsi="宋体" w:eastAsia="宋体" w:cs="宋体"/>
                <w:sz w:val="24"/>
                <w:szCs w:val="24"/>
                <w:vertAlign w:val="baseline"/>
                <w:lang w:val="en-US" w:eastAsia="zh-CN"/>
              </w:rPr>
            </w:pPr>
            <w:r>
              <w:rPr>
                <w:rFonts w:hint="eastAsia" w:ascii="宋体" w:hAnsi="宋体" w:eastAsia="宋体" w:cs="宋体"/>
                <w:b/>
                <w:bCs/>
                <w:spacing w:val="-2"/>
                <w:sz w:val="24"/>
                <w:szCs w:val="24"/>
              </w:rPr>
              <w:t>Name of material component</w:t>
            </w:r>
          </w:p>
        </w:tc>
        <w:tc>
          <w:tcPr>
            <w:tcW w:w="2190" w:type="dxa"/>
            <w:vAlign w:val="center"/>
          </w:tcPr>
          <w:p w14:paraId="4C51A666">
            <w:pPr>
              <w:numPr>
                <w:ilvl w:val="0"/>
                <w:numId w:val="0"/>
              </w:numPr>
              <w:jc w:val="center"/>
              <w:rPr>
                <w:rFonts w:hint="eastAsia" w:ascii="宋体" w:hAnsi="宋体" w:eastAsia="宋体" w:cs="宋体"/>
                <w:b/>
                <w:bCs/>
                <w:spacing w:val="-8"/>
                <w:sz w:val="24"/>
                <w:szCs w:val="24"/>
              </w:rPr>
            </w:pPr>
            <w:r>
              <w:rPr>
                <w:rFonts w:hint="eastAsia" w:ascii="宋体" w:hAnsi="宋体" w:eastAsia="宋体" w:cs="宋体"/>
                <w:b/>
                <w:bCs/>
                <w:spacing w:val="-8"/>
                <w:sz w:val="24"/>
                <w:szCs w:val="24"/>
              </w:rPr>
              <w:t>比重（%）</w:t>
            </w:r>
          </w:p>
          <w:p w14:paraId="70EE9CB2">
            <w:pPr>
              <w:numPr>
                <w:ilvl w:val="0"/>
                <w:numId w:val="0"/>
              </w:numPr>
              <w:ind w:left="0" w:leftChars="0" w:firstLine="0" w:firstLineChars="0"/>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pacing w:val="-8"/>
                <w:sz w:val="24"/>
                <w:szCs w:val="24"/>
              </w:rPr>
              <w:t>proportion(%)</w:t>
            </w:r>
          </w:p>
        </w:tc>
        <w:tc>
          <w:tcPr>
            <w:tcW w:w="2789" w:type="dxa"/>
            <w:vAlign w:val="center"/>
          </w:tcPr>
          <w:p w14:paraId="385DB6FA">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用途</w:t>
            </w:r>
          </w:p>
          <w:p w14:paraId="6B2008C4">
            <w:pPr>
              <w:numPr>
                <w:ilvl w:val="0"/>
                <w:numId w:val="0"/>
              </w:numPr>
              <w:ind w:left="0" w:leftChars="0" w:firstLine="0" w:firstLineChars="0"/>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Use</w:t>
            </w:r>
          </w:p>
        </w:tc>
      </w:tr>
      <w:tr w14:paraId="6CBAB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8" w:hRule="atLeast"/>
        </w:trPr>
        <w:tc>
          <w:tcPr>
            <w:tcW w:w="3046" w:type="dxa"/>
            <w:vAlign w:val="center"/>
          </w:tcPr>
          <w:p w14:paraId="7D6B3B6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center"/>
              <w:textAlignment w:val="auto"/>
              <w:rPr>
                <w:rFonts w:hint="eastAsia" w:ascii="宋体" w:hAnsi="宋体" w:eastAsia="宋体" w:cs="宋体"/>
                <w:spacing w:val="-14"/>
                <w:sz w:val="24"/>
                <w:szCs w:val="24"/>
                <w:lang w:val="en-US" w:eastAsia="zh-CN"/>
              </w:rPr>
            </w:pPr>
            <w:r>
              <w:rPr>
                <w:rFonts w:hint="eastAsia" w:asciiTheme="minorEastAsia" w:hAnsiTheme="minorEastAsia" w:cstheme="minorEastAsia"/>
                <w:b w:val="0"/>
                <w:bCs/>
                <w:sz w:val="24"/>
                <w:szCs w:val="24"/>
                <w:lang w:val="en-US" w:eastAsia="zh-CN"/>
              </w:rPr>
              <w:t>氧化锡</w:t>
            </w:r>
            <w:r>
              <w:rPr>
                <w:rFonts w:ascii="宋体" w:hAnsi="宋体" w:eastAsia="宋体" w:cs="宋体"/>
                <w:sz w:val="24"/>
                <w:szCs w:val="24"/>
              </w:rPr>
              <w:t>Stannic </w:t>
            </w:r>
            <w:r>
              <w:rPr>
                <w:rFonts w:hint="eastAsia" w:ascii="宋体" w:hAnsi="宋体" w:eastAsia="宋体" w:cs="宋体"/>
                <w:sz w:val="24"/>
                <w:szCs w:val="24"/>
                <w:lang w:val="en-US" w:eastAsia="zh-CN"/>
              </w:rPr>
              <w:t>O</w:t>
            </w:r>
            <w:r>
              <w:rPr>
                <w:rFonts w:ascii="宋体" w:hAnsi="宋体" w:eastAsia="宋体" w:cs="宋体"/>
                <w:sz w:val="24"/>
                <w:szCs w:val="24"/>
              </w:rPr>
              <w:t>xide</w:t>
            </w:r>
          </w:p>
        </w:tc>
        <w:tc>
          <w:tcPr>
            <w:tcW w:w="2190" w:type="dxa"/>
            <w:vAlign w:val="center"/>
          </w:tcPr>
          <w:p w14:paraId="044AF566">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center"/>
              <w:textAlignment w:val="auto"/>
              <w:rPr>
                <w:rFonts w:hint="default" w:ascii="宋体" w:hAnsi="宋体" w:eastAsia="宋体" w:cs="宋体"/>
                <w:spacing w:val="-4"/>
                <w:sz w:val="24"/>
                <w:szCs w:val="24"/>
                <w:lang w:val="en-US" w:eastAsia="zh-CN"/>
              </w:rPr>
            </w:pPr>
            <w:r>
              <w:rPr>
                <w:rFonts w:hint="eastAsia" w:ascii="宋体" w:hAnsi="宋体" w:eastAsia="宋体" w:cs="宋体"/>
                <w:sz w:val="24"/>
                <w:szCs w:val="24"/>
                <w:lang w:val="en-US" w:eastAsia="zh-CN"/>
              </w:rPr>
              <w:t>30%</w:t>
            </w:r>
          </w:p>
        </w:tc>
        <w:tc>
          <w:tcPr>
            <w:tcW w:w="2789" w:type="dxa"/>
            <w:vMerge w:val="restart"/>
            <w:vAlign w:val="center"/>
          </w:tcPr>
          <w:p w14:paraId="55FF569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60" w:leftChars="0" w:right="0" w:rightChars="0"/>
              <w:jc w:val="left"/>
              <w:rPr>
                <w:rFonts w:hint="eastAsia" w:ascii="宋体" w:hAnsi="宋体" w:eastAsia="宋体" w:cs="宋体"/>
                <w:spacing w:val="-4"/>
                <w:sz w:val="24"/>
                <w:szCs w:val="24"/>
                <w:lang w:val="en-US" w:eastAsia="zh-CN"/>
              </w:rPr>
            </w:pPr>
            <w:r>
              <w:rPr>
                <w:rFonts w:hint="eastAsia" w:ascii="宋体" w:hAnsi="宋体" w:eastAsia="宋体" w:cs="宋体"/>
                <w:spacing w:val="-4"/>
                <w:sz w:val="24"/>
                <w:szCs w:val="24"/>
                <w:lang w:val="en-US" w:eastAsia="zh-CN"/>
              </w:rPr>
              <w:t>制造</w:t>
            </w:r>
            <w:r>
              <w:rPr>
                <w:rFonts w:ascii="Segoe UI" w:hAnsi="Segoe UI" w:eastAsia="Segoe UI" w:cs="Segoe UI"/>
                <w:i w:val="0"/>
                <w:iCs w:val="0"/>
                <w:caps w:val="0"/>
                <w:color w:val="111111"/>
                <w:spacing w:val="0"/>
                <w:sz w:val="24"/>
                <w:szCs w:val="24"/>
                <w:shd w:val="clear" w:fill="FFFFFF"/>
              </w:rPr>
              <w:t>半导体电子工业材料</w:t>
            </w:r>
            <w:r>
              <w:rPr>
                <w:rFonts w:hint="eastAsia" w:ascii="Segoe UI" w:hAnsi="Segoe UI" w:eastAsia="宋体" w:cs="Segoe UI"/>
                <w:i w:val="0"/>
                <w:iCs w:val="0"/>
                <w:caps w:val="0"/>
                <w:color w:val="111111"/>
                <w:spacing w:val="0"/>
                <w:sz w:val="24"/>
                <w:szCs w:val="24"/>
                <w:shd w:val="clear" w:fill="FFFFFF"/>
                <w:lang w:eastAsia="zh-CN"/>
              </w:rPr>
              <w:t>、</w:t>
            </w:r>
            <w:r>
              <w:rPr>
                <w:rFonts w:hint="eastAsia" w:ascii="Segoe UI" w:hAnsi="Segoe UI" w:eastAsia="宋体" w:cs="Segoe UI"/>
                <w:i w:val="0"/>
                <w:iCs w:val="0"/>
                <w:caps w:val="0"/>
                <w:color w:val="111111"/>
                <w:spacing w:val="0"/>
                <w:sz w:val="24"/>
                <w:szCs w:val="24"/>
                <w:shd w:val="clear" w:fill="FFFFFF"/>
                <w:lang w:eastAsia="zh-CN"/>
              </w:rPr>
              <w:fldChar w:fldCharType="begin"/>
            </w:r>
            <w:r>
              <w:rPr>
                <w:rFonts w:hint="eastAsia" w:ascii="Segoe UI" w:hAnsi="Segoe UI" w:eastAsia="宋体" w:cs="Segoe UI"/>
                <w:i w:val="0"/>
                <w:iCs w:val="0"/>
                <w:caps w:val="0"/>
                <w:color w:val="111111"/>
                <w:spacing w:val="0"/>
                <w:sz w:val="24"/>
                <w:szCs w:val="24"/>
                <w:shd w:val="clear" w:fill="FFFFFF"/>
                <w:lang w:eastAsia="zh-CN"/>
              </w:rPr>
              <w:instrText xml:space="preserve"> HYPERLINK "https://tlo.xjtu.edu.cn/info/1009/5194.htm" \t "https://cn.bing.com/_blank" </w:instrText>
            </w:r>
            <w:r>
              <w:rPr>
                <w:rFonts w:hint="eastAsia" w:ascii="Segoe UI" w:hAnsi="Segoe UI" w:eastAsia="宋体" w:cs="Segoe UI"/>
                <w:i w:val="0"/>
                <w:iCs w:val="0"/>
                <w:caps w:val="0"/>
                <w:color w:val="111111"/>
                <w:spacing w:val="0"/>
                <w:sz w:val="24"/>
                <w:szCs w:val="24"/>
                <w:shd w:val="clear" w:fill="FFFFFF"/>
                <w:lang w:eastAsia="zh-CN"/>
              </w:rPr>
              <w:fldChar w:fldCharType="separate"/>
            </w:r>
            <w:r>
              <w:rPr>
                <w:rFonts w:hint="eastAsia" w:ascii="Segoe UI" w:hAnsi="Segoe UI" w:eastAsia="宋体" w:cs="Segoe UI"/>
                <w:i w:val="0"/>
                <w:iCs w:val="0"/>
                <w:caps w:val="0"/>
                <w:color w:val="111111"/>
                <w:spacing w:val="0"/>
                <w:sz w:val="24"/>
                <w:szCs w:val="24"/>
                <w:shd w:val="clear" w:fill="FFFFFF"/>
                <w:lang w:eastAsia="zh-CN"/>
              </w:rPr>
              <w:t>陶瓷釉料、气敏元件材料</w:t>
            </w:r>
            <w:r>
              <w:rPr>
                <w:rFonts w:hint="eastAsia" w:ascii="Segoe UI" w:hAnsi="Segoe UI" w:eastAsia="宋体" w:cs="Segoe UI"/>
                <w:i w:val="0"/>
                <w:iCs w:val="0"/>
                <w:caps w:val="0"/>
                <w:color w:val="111111"/>
                <w:spacing w:val="0"/>
                <w:sz w:val="24"/>
                <w:szCs w:val="24"/>
                <w:shd w:val="clear" w:fill="FFFFFF"/>
                <w:lang w:eastAsia="zh-CN"/>
              </w:rPr>
              <w:fldChar w:fldCharType="end"/>
            </w:r>
            <w:r>
              <w:rPr>
                <w:rFonts w:hint="eastAsia" w:ascii="Segoe UI" w:hAnsi="Segoe UI" w:eastAsia="宋体" w:cs="Segoe UI"/>
                <w:i w:val="0"/>
                <w:iCs w:val="0"/>
                <w:caps w:val="0"/>
                <w:color w:val="111111"/>
                <w:spacing w:val="0"/>
                <w:sz w:val="24"/>
                <w:szCs w:val="24"/>
                <w:shd w:val="clear" w:fill="FFFFFF"/>
                <w:lang w:eastAsia="zh-CN"/>
              </w:rPr>
              <w:t>、</w:t>
            </w:r>
            <w:r>
              <w:rPr>
                <w:rFonts w:ascii="Segoe UI" w:hAnsi="Segoe UI" w:eastAsia="Segoe UI" w:cs="Segoe UI"/>
                <w:i w:val="0"/>
                <w:iCs w:val="0"/>
                <w:caps w:val="0"/>
                <w:color w:val="111111"/>
                <w:spacing w:val="0"/>
                <w:sz w:val="24"/>
                <w:szCs w:val="24"/>
                <w:shd w:val="clear" w:fill="FFFFFF"/>
              </w:rPr>
              <w:t>搪瓷和电磁材料</w:t>
            </w:r>
            <w:r>
              <w:rPr>
                <w:rFonts w:hint="eastAsia" w:ascii="宋体" w:hAnsi="宋体" w:eastAsia="宋体" w:cs="宋体"/>
                <w:spacing w:val="-4"/>
                <w:sz w:val="24"/>
                <w:szCs w:val="24"/>
                <w:lang w:val="en-US" w:eastAsia="zh-CN"/>
              </w:rPr>
              <w:t>等</w:t>
            </w:r>
          </w:p>
          <w:p w14:paraId="6571108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60" w:leftChars="0" w:right="0" w:rightChars="0"/>
              <w:jc w:val="left"/>
              <w:rPr>
                <w:rFonts w:hint="default" w:ascii="宋体" w:hAnsi="宋体" w:eastAsia="宋体" w:cs="宋体"/>
                <w:spacing w:val="-4"/>
                <w:sz w:val="24"/>
                <w:szCs w:val="24"/>
                <w:lang w:val="en-US" w:eastAsia="zh-CN"/>
              </w:rPr>
            </w:pPr>
            <w:r>
              <w:rPr>
                <w:rFonts w:hint="default" w:ascii="宋体" w:hAnsi="宋体" w:eastAsia="宋体" w:cs="宋体"/>
                <w:spacing w:val="-4"/>
                <w:sz w:val="24"/>
                <w:szCs w:val="24"/>
                <w:lang w:val="en-US" w:eastAsia="zh-CN"/>
              </w:rPr>
              <w:t>Manufacture of semiconductor electronic industry materials, ceramic glazes, gas-sensitive component materials, enamel and electromagnetic materials, etc</w:t>
            </w:r>
          </w:p>
        </w:tc>
      </w:tr>
      <w:tr w14:paraId="3C9F5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6" w:type="dxa"/>
            <w:vAlign w:val="center"/>
          </w:tcPr>
          <w:p w14:paraId="69D80DD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center"/>
              <w:textAlignment w:val="auto"/>
              <w:rPr>
                <w:rFonts w:hint="eastAsia" w:asciiTheme="minorEastAsia" w:hAnsiTheme="minorEastAsia" w:cstheme="minorEastAsia"/>
                <w:b w:val="0"/>
                <w:bCs/>
                <w:sz w:val="24"/>
                <w:szCs w:val="24"/>
                <w:lang w:val="en-US" w:eastAsia="zh-CN"/>
              </w:rPr>
            </w:pPr>
            <w:r>
              <w:rPr>
                <w:rFonts w:hint="eastAsia" w:asciiTheme="minorEastAsia" w:hAnsiTheme="minorEastAsia" w:cstheme="minorEastAsia"/>
                <w:b w:val="0"/>
                <w:bCs/>
                <w:sz w:val="24"/>
                <w:szCs w:val="24"/>
                <w:lang w:val="en-US" w:eastAsia="zh-CN"/>
              </w:rPr>
              <w:t>乙醇</w:t>
            </w:r>
          </w:p>
          <w:p w14:paraId="406E3F48">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center"/>
              <w:textAlignment w:val="auto"/>
              <w:rPr>
                <w:rFonts w:hint="default" w:asciiTheme="minorEastAsia" w:hAnsiTheme="minorEastAsia" w:cstheme="minorEastAsia"/>
                <w:b w:val="0"/>
                <w:bCs/>
                <w:sz w:val="24"/>
                <w:szCs w:val="24"/>
                <w:lang w:val="en-US" w:eastAsia="zh-CN"/>
              </w:rPr>
            </w:pPr>
            <w:r>
              <w:rPr>
                <w:rFonts w:hint="eastAsia" w:asciiTheme="minorEastAsia" w:hAnsiTheme="minorEastAsia" w:cstheme="minorEastAsia"/>
                <w:b w:val="0"/>
                <w:bCs/>
                <w:sz w:val="24"/>
                <w:szCs w:val="24"/>
                <w:lang w:val="en-US" w:eastAsia="zh-CN"/>
              </w:rPr>
              <w:t>Ethanol</w:t>
            </w:r>
          </w:p>
        </w:tc>
        <w:tc>
          <w:tcPr>
            <w:tcW w:w="2190" w:type="dxa"/>
            <w:vAlign w:val="center"/>
          </w:tcPr>
          <w:p w14:paraId="2715220E">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70%</w:t>
            </w:r>
          </w:p>
        </w:tc>
        <w:tc>
          <w:tcPr>
            <w:tcW w:w="2789" w:type="dxa"/>
            <w:vMerge w:val="continue"/>
            <w:vAlign w:val="center"/>
          </w:tcPr>
          <w:p w14:paraId="6AFEA1D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60" w:leftChars="0" w:right="0" w:rightChars="0"/>
              <w:jc w:val="left"/>
              <w:rPr>
                <w:rFonts w:hint="default" w:ascii="宋体" w:hAnsi="宋体" w:eastAsia="宋体" w:cs="宋体"/>
                <w:spacing w:val="-4"/>
                <w:sz w:val="24"/>
                <w:szCs w:val="24"/>
                <w:lang w:val="en-US" w:eastAsia="zh-CN"/>
              </w:rPr>
            </w:pPr>
          </w:p>
        </w:tc>
      </w:tr>
    </w:tbl>
    <w:p w14:paraId="7C5E84AC">
      <w:pPr>
        <w:numPr>
          <w:ilvl w:val="0"/>
          <w:numId w:val="0"/>
        </w:numPr>
        <w:ind w:leftChars="0"/>
        <w:jc w:val="left"/>
        <w:rPr>
          <w:rFonts w:hint="default" w:ascii="Calibri" w:hAnsi="Calibri" w:eastAsia="宋体" w:cs="Calibri"/>
          <w:sz w:val="22"/>
          <w:szCs w:val="22"/>
          <w:lang w:val="en-US" w:eastAsia="zh-CN"/>
        </w:rPr>
      </w:pPr>
    </w:p>
    <w:p w14:paraId="0F2D4DFC">
      <w:pPr>
        <w:numPr>
          <w:ilvl w:val="0"/>
          <w:numId w:val="0"/>
        </w:numPr>
        <w:ind w:leftChars="0"/>
        <w:jc w:val="left"/>
        <w:rPr>
          <w:rFonts w:hint="default" w:ascii="Calibri" w:hAnsi="Calibri" w:eastAsia="宋体" w:cs="Calibri"/>
          <w:sz w:val="22"/>
          <w:szCs w:val="22"/>
          <w:lang w:val="en-US" w:eastAsia="zh-CN"/>
        </w:rPr>
      </w:pPr>
    </w:p>
    <w:p w14:paraId="64D63DA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Calibri"/>
          <w:b/>
          <w:sz w:val="30"/>
          <w:szCs w:val="30"/>
          <w:lang w:val="en-US" w:eastAsia="zh-CN"/>
        </w:rPr>
      </w:pPr>
      <w:r>
        <w:rPr>
          <w:rFonts w:hint="eastAsia" w:ascii="Times New Roman" w:hAnsi="Times New Roman" w:eastAsia="宋体" w:cs="Calibri"/>
          <w:b/>
          <w:sz w:val="30"/>
          <w:szCs w:val="30"/>
          <w:lang w:val="en-US" w:eastAsia="zh-CN"/>
        </w:rPr>
        <w:t>3.危险性概述</w:t>
      </w:r>
    </w:p>
    <w:p w14:paraId="491827C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default" w:ascii="Times New Roman" w:hAnsi="Times New Roman" w:eastAsia="宋体" w:cs="Calibri"/>
          <w:b/>
          <w:sz w:val="22"/>
          <w:szCs w:val="22"/>
          <w:lang w:val="en-US" w:eastAsia="zh-CN"/>
        </w:rPr>
      </w:pPr>
      <w:r>
        <w:rPr>
          <w:rFonts w:hint="eastAsia" w:ascii="Times New Roman" w:hAnsi="Times New Roman" w:eastAsia="宋体" w:cs="Calibri"/>
          <w:b/>
          <w:sz w:val="30"/>
          <w:szCs w:val="30"/>
          <w:lang w:val="en-US" w:eastAsia="zh-CN"/>
        </w:rPr>
        <w:t>Hazards Identification</w:t>
      </w:r>
    </w:p>
    <w:p w14:paraId="254A5EDE">
      <w:pPr>
        <w:numPr>
          <w:ilvl w:val="0"/>
          <w:numId w:val="0"/>
        </w:numPr>
        <w:ind w:leftChars="0" w:firstLine="240" w:firstLineChars="100"/>
        <w:jc w:val="left"/>
        <w:rPr>
          <w:rFonts w:ascii="宋体" w:hAnsi="宋体" w:eastAsia="宋体" w:cs="宋体"/>
          <w:sz w:val="24"/>
          <w:szCs w:val="24"/>
        </w:rPr>
      </w:pPr>
    </w:p>
    <w:p w14:paraId="24A23D1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hint="eastAsia" w:ascii="宋体" w:hAnsi="宋体" w:eastAsia="宋体" w:cs="宋体"/>
          <w:b/>
          <w:bCs/>
          <w:sz w:val="24"/>
          <w:szCs w:val="24"/>
          <w:lang w:val="en-US" w:eastAsia="zh-CN"/>
        </w:rPr>
        <w:t>危险类别</w:t>
      </w:r>
      <w:r>
        <w:rPr>
          <w:rFonts w:hint="eastAsia" w:ascii="Helvetica" w:hAnsi="Helvetica" w:eastAsia="宋体" w:cs="Helvetica"/>
          <w:b/>
          <w:bCs/>
          <w:i w:val="0"/>
          <w:iCs w:val="0"/>
          <w:caps w:val="0"/>
          <w:color w:val="333333"/>
          <w:spacing w:val="0"/>
          <w:sz w:val="24"/>
          <w:szCs w:val="24"/>
          <w:shd w:val="clear" w:fill="FFFFFF"/>
          <w:lang w:val="en-US" w:eastAsia="zh-CN"/>
        </w:rPr>
        <w:t>（</w:t>
      </w:r>
      <w:r>
        <w:rPr>
          <w:rFonts w:hint="eastAsia" w:ascii="宋体" w:hAnsi="宋体" w:eastAsia="宋体" w:cs="宋体"/>
          <w:b/>
          <w:bCs/>
          <w:sz w:val="24"/>
          <w:szCs w:val="24"/>
        </w:rPr>
        <w:t>GHS</w:t>
      </w:r>
      <w:r>
        <w:rPr>
          <w:rFonts w:hint="eastAsia" w:ascii="宋体" w:hAnsi="宋体" w:eastAsia="宋体" w:cs="宋体"/>
          <w:b/>
          <w:bCs/>
          <w:sz w:val="24"/>
          <w:szCs w:val="24"/>
          <w:lang w:eastAsia="zh-CN"/>
        </w:rPr>
        <w:t>）：</w:t>
      </w:r>
      <w:r>
        <w:rPr>
          <w:rFonts w:ascii="宋体" w:hAnsi="宋体" w:eastAsia="宋体" w:cs="宋体"/>
          <w:sz w:val="24"/>
          <w:szCs w:val="24"/>
        </w:rPr>
        <w:t>非危险物质或混合物。</w:t>
      </w:r>
    </w:p>
    <w:p w14:paraId="41FC37C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b/>
          <w:bCs/>
          <w:sz w:val="24"/>
          <w:szCs w:val="24"/>
        </w:rPr>
      </w:pPr>
      <w:r>
        <w:rPr>
          <w:rFonts w:hint="default" w:ascii="宋体" w:hAnsi="宋体" w:eastAsia="宋体" w:cs="宋体"/>
          <w:b/>
          <w:bCs/>
          <w:sz w:val="24"/>
          <w:szCs w:val="24"/>
        </w:rPr>
        <w:t xml:space="preserve">Hazard Class (GHS): </w:t>
      </w:r>
      <w:r>
        <w:rPr>
          <w:rFonts w:hint="default" w:ascii="宋体" w:hAnsi="宋体" w:eastAsia="宋体" w:cs="宋体"/>
          <w:b w:val="0"/>
          <w:bCs w:val="0"/>
          <w:sz w:val="24"/>
          <w:szCs w:val="24"/>
        </w:rPr>
        <w:t>Not a hazardous substance or mixture.</w:t>
      </w:r>
    </w:p>
    <w:p w14:paraId="0B2FDE1D">
      <w:pPr>
        <w:numPr>
          <w:ilvl w:val="0"/>
          <w:numId w:val="0"/>
        </w:numPr>
        <w:jc w:val="left"/>
        <w:rPr>
          <w:rFonts w:hint="default" w:ascii="宋体" w:hAnsi="宋体" w:eastAsia="宋体" w:cs="宋体"/>
          <w:b/>
          <w:bCs/>
          <w:sz w:val="24"/>
          <w:szCs w:val="24"/>
          <w:lang w:val="en-US" w:eastAsia="zh-CN"/>
        </w:rPr>
      </w:pPr>
    </w:p>
    <w:p w14:paraId="59B2D28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4.急救措施</w:t>
      </w:r>
    </w:p>
    <w:p w14:paraId="1076CDF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First aid measures</w:t>
      </w:r>
    </w:p>
    <w:p w14:paraId="2B346F8A">
      <w:pPr>
        <w:numPr>
          <w:ilvl w:val="0"/>
          <w:numId w:val="0"/>
        </w:numPr>
        <w:jc w:val="left"/>
        <w:rPr>
          <w:rFonts w:hint="eastAsia" w:ascii="Calibri" w:hAnsi="Calibri" w:eastAsia="Calibri" w:cs="Calibri"/>
          <w:position w:val="1"/>
          <w:sz w:val="22"/>
          <w:szCs w:val="22"/>
          <w:lang w:val="en-US" w:eastAsia="zh-CN"/>
        </w:rPr>
      </w:pPr>
      <w:r>
        <w:rPr>
          <w:rFonts w:hint="eastAsia" w:ascii="Calibri" w:hAnsi="Calibri" w:eastAsia="Calibri" w:cs="Calibri"/>
          <w:position w:val="1"/>
          <w:sz w:val="22"/>
          <w:szCs w:val="22"/>
          <w:lang w:val="en-US" w:eastAsia="zh-CN"/>
        </w:rPr>
        <w:t xml:space="preserve"> </w:t>
      </w:r>
    </w:p>
    <w:p w14:paraId="5CE971E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皮肤接触：</w:t>
      </w:r>
      <w:r>
        <w:rPr>
          <w:rFonts w:hint="eastAsia" w:ascii="宋体" w:hAnsi="宋体" w:eastAsia="宋体" w:cs="宋体"/>
          <w:sz w:val="24"/>
          <w:szCs w:val="24"/>
        </w:rPr>
        <w:t>将受污染的衣物和鞋子移除，用水和肥皂清洗患处 15 分钟以上。若有需要，立即就医。</w:t>
      </w:r>
    </w:p>
    <w:p w14:paraId="737D7B2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Skin contact:</w:t>
      </w:r>
      <w:r>
        <w:rPr>
          <w:rFonts w:hint="eastAsia" w:ascii="宋体" w:hAnsi="宋体" w:eastAsia="宋体" w:cs="宋体"/>
          <w:sz w:val="24"/>
          <w:szCs w:val="24"/>
        </w:rPr>
        <w:t xml:space="preserve"> Remove contaminated clothing and shoes and wash the affected area with water and soap for at least 15 minutes. Seek medical attention if necessary.</w:t>
      </w:r>
      <w:r>
        <w:rPr>
          <w:rFonts w:ascii="宋体" w:hAnsi="宋体" w:eastAsia="宋体" w:cs="宋体"/>
          <w:b/>
          <w:bCs/>
          <w:sz w:val="24"/>
          <w:szCs w:val="24"/>
        </w:rPr>
        <w:t>眼睛接触：</w:t>
      </w:r>
      <w:r>
        <w:rPr>
          <w:rFonts w:ascii="宋体" w:hAnsi="宋体" w:eastAsia="宋体" w:cs="宋体"/>
          <w:sz w:val="24"/>
          <w:szCs w:val="24"/>
        </w:rPr>
        <w:t>拉开眼睑，用流动清水冲洗15分钟。就医。</w:t>
      </w:r>
    </w:p>
    <w:p w14:paraId="363BBA8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Eye contact:</w:t>
      </w:r>
      <w:r>
        <w:rPr>
          <w:rFonts w:hint="eastAsia" w:ascii="宋体" w:hAnsi="宋体" w:eastAsia="宋体" w:cs="宋体"/>
          <w:sz w:val="24"/>
          <w:szCs w:val="24"/>
        </w:rPr>
        <w:t xml:space="preserve"> Pull open the eyelids and rinse with running water for 15 minutes. Seek medical attention.</w:t>
      </w:r>
    </w:p>
    <w:p w14:paraId="0C82DFB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吸入：</w:t>
      </w:r>
      <w:r>
        <w:rPr>
          <w:rFonts w:ascii="宋体" w:hAnsi="宋体" w:eastAsia="宋体" w:cs="宋体"/>
          <w:sz w:val="24"/>
          <w:szCs w:val="24"/>
        </w:rPr>
        <w:t xml:space="preserve">如果吸入,请将患者移到新鲜空气处。如果停止了呼吸,给于人工呼吸。 </w:t>
      </w:r>
    </w:p>
    <w:p w14:paraId="00A5AA2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hint="eastAsia" w:ascii="宋体" w:hAnsi="宋体" w:eastAsia="宋体" w:cs="宋体"/>
          <w:b/>
          <w:bCs/>
          <w:sz w:val="24"/>
          <w:szCs w:val="24"/>
        </w:rPr>
        <w:t xml:space="preserve">Inhalation: </w:t>
      </w:r>
      <w:r>
        <w:rPr>
          <w:rFonts w:hint="eastAsia" w:ascii="宋体" w:hAnsi="宋体" w:eastAsia="宋体" w:cs="宋体"/>
          <w:sz w:val="24"/>
          <w:szCs w:val="24"/>
        </w:rPr>
        <w:t>If inhaled, move victim to fresh air. If not breathing, give artificial respiration.</w:t>
      </w:r>
    </w:p>
    <w:p w14:paraId="111473D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食入：</w:t>
      </w:r>
      <w:r>
        <w:rPr>
          <w:rFonts w:ascii="宋体" w:hAnsi="宋体" w:eastAsia="宋体" w:cs="宋体"/>
          <w:sz w:val="24"/>
          <w:szCs w:val="24"/>
        </w:rPr>
        <w:t>切勿给失去知觉者从嘴里喂食任何东西。用水漱口。</w:t>
      </w:r>
    </w:p>
    <w:p w14:paraId="3DC8F0A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Ingestion:</w:t>
      </w:r>
      <w:r>
        <w:rPr>
          <w:rFonts w:hint="default" w:ascii="宋体" w:hAnsi="宋体" w:eastAsia="宋体" w:cs="宋体"/>
          <w:sz w:val="24"/>
          <w:szCs w:val="24"/>
          <w:lang w:val="en-US" w:eastAsia="zh-CN"/>
        </w:rPr>
        <w:t xml:space="preserve"> Never give anything by mouth to an unconscious person. Rinse mouth with water.</w:t>
      </w:r>
    </w:p>
    <w:p w14:paraId="1DE39B55">
      <w:pPr>
        <w:numPr>
          <w:ilvl w:val="0"/>
          <w:numId w:val="0"/>
        </w:numPr>
        <w:ind w:left="239" w:leftChars="114" w:firstLine="0" w:firstLineChars="0"/>
        <w:jc w:val="left"/>
        <w:rPr>
          <w:rFonts w:hint="default" w:ascii="宋体" w:hAnsi="宋体" w:eastAsia="宋体" w:cs="宋体"/>
          <w:sz w:val="24"/>
          <w:szCs w:val="24"/>
          <w:lang w:val="en-US" w:eastAsia="zh-CN"/>
        </w:rPr>
      </w:pPr>
    </w:p>
    <w:p w14:paraId="303BBD3C">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5.</w:t>
      </w:r>
      <w:r>
        <w:rPr>
          <w:rFonts w:hint="eastAsia" w:ascii="Times New Roman" w:hAnsi="Times New Roman" w:eastAsia="宋体" w:cs="宋体"/>
          <w:b/>
          <w:sz w:val="30"/>
          <w:szCs w:val="30"/>
          <w:lang w:val="en-US" w:eastAsia="zh-CN"/>
        </w:rPr>
        <w:t>消防措施</w:t>
      </w:r>
    </w:p>
    <w:p w14:paraId="63AA829D">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hint="default" w:ascii="Times New Roman" w:hAnsi="Times New Roman" w:eastAsia="宋体"/>
          <w:b/>
          <w:spacing w:val="-14"/>
          <w:sz w:val="30"/>
          <w:szCs w:val="30"/>
          <w:lang w:val="en-US"/>
          <w14:textOutline w14:w="4358" w14:cap="sq" w14:cmpd="sng">
            <w14:solidFill>
              <w14:srgbClr w14:val="000000"/>
            </w14:solidFill>
            <w14:prstDash w14:val="solid"/>
            <w14:bevel/>
          </w14:textOutline>
        </w:rPr>
      </w:pPr>
      <w:r>
        <w:rPr>
          <w:rFonts w:hint="eastAsia" w:ascii="Times New Roman" w:hAnsi="Times New Roman" w:eastAsia="宋体" w:cs="宋体"/>
          <w:b/>
          <w:sz w:val="30"/>
          <w:szCs w:val="30"/>
          <w:lang w:val="en-US" w:eastAsia="zh-CN"/>
        </w:rPr>
        <w:t>Fire-fighting measures</w:t>
      </w:r>
    </w:p>
    <w:p w14:paraId="390D6E86">
      <w:pPr>
        <w:pStyle w:val="10"/>
        <w:spacing w:before="71" w:line="221" w:lineRule="auto"/>
        <w:ind w:left="239" w:leftChars="114" w:firstLine="0" w:firstLineChars="0"/>
        <w:outlineLvl w:val="0"/>
        <w:rPr>
          <w:rFonts w:ascii="宋体" w:hAnsi="宋体" w:eastAsia="宋体" w:cs="宋体"/>
          <w:sz w:val="24"/>
          <w:szCs w:val="24"/>
        </w:rPr>
      </w:pPr>
    </w:p>
    <w:p w14:paraId="05016895">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ascii="宋体" w:hAnsi="宋体" w:eastAsia="宋体" w:cs="宋体"/>
          <w:b/>
          <w:bCs/>
          <w:sz w:val="24"/>
          <w:szCs w:val="24"/>
        </w:rPr>
        <w:t>灭火方法及灭火剂：</w:t>
      </w:r>
      <w:r>
        <w:rPr>
          <w:rFonts w:ascii="宋体" w:hAnsi="宋体" w:eastAsia="宋体" w:cs="宋体"/>
          <w:sz w:val="24"/>
          <w:szCs w:val="24"/>
        </w:rPr>
        <w:t>本品</w:t>
      </w:r>
      <w:r>
        <w:rPr>
          <w:rFonts w:hint="eastAsia" w:cs="宋体"/>
          <w:sz w:val="24"/>
          <w:szCs w:val="24"/>
          <w:lang w:val="en-US" w:eastAsia="zh-CN"/>
        </w:rPr>
        <w:t>可</w:t>
      </w:r>
      <w:r>
        <w:rPr>
          <w:rFonts w:ascii="宋体" w:hAnsi="宋体" w:eastAsia="宋体" w:cs="宋体"/>
          <w:sz w:val="24"/>
          <w:szCs w:val="24"/>
        </w:rPr>
        <w:t>燃。尽可能将容器从火场移至空旷处。</w:t>
      </w:r>
    </w:p>
    <w:p w14:paraId="1CF07531">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cs="宋体"/>
          <w:b w:val="0"/>
          <w:bCs w:val="0"/>
          <w:sz w:val="24"/>
          <w:szCs w:val="24"/>
          <w:lang w:eastAsia="zh-CN"/>
        </w:rPr>
      </w:pPr>
      <w:r>
        <w:rPr>
          <w:rFonts w:hint="eastAsia" w:cs="宋体"/>
          <w:b/>
          <w:bCs/>
          <w:sz w:val="24"/>
          <w:szCs w:val="24"/>
          <w:lang w:eastAsia="zh-CN"/>
        </w:rPr>
        <w:t>Fire extinguishing methods and extinguishing agents:</w:t>
      </w:r>
      <w:r>
        <w:rPr>
          <w:rFonts w:hint="eastAsia" w:cs="宋体"/>
          <w:b/>
          <w:bCs/>
          <w:sz w:val="24"/>
          <w:szCs w:val="24"/>
          <w:lang w:val="en-US" w:eastAsia="zh-CN"/>
        </w:rPr>
        <w:t xml:space="preserve"> </w:t>
      </w:r>
      <w:r>
        <w:rPr>
          <w:rFonts w:hint="eastAsia" w:cs="宋体"/>
          <w:b w:val="0"/>
          <w:bCs w:val="0"/>
          <w:sz w:val="24"/>
          <w:szCs w:val="24"/>
          <w:lang w:eastAsia="zh-CN"/>
        </w:rPr>
        <w:t xml:space="preserve">This product is flammable. Move containers from the fire to an open area as much as possible. </w:t>
      </w:r>
    </w:p>
    <w:p w14:paraId="78931119">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ascii="宋体" w:hAnsi="宋体" w:eastAsia="宋体" w:cs="宋体"/>
          <w:sz w:val="24"/>
          <w:szCs w:val="24"/>
        </w:rPr>
      </w:pPr>
      <w:r>
        <w:rPr>
          <w:rFonts w:ascii="宋体" w:hAnsi="宋体" w:eastAsia="宋体" w:cs="宋体"/>
          <w:b/>
          <w:bCs/>
          <w:sz w:val="24"/>
          <w:szCs w:val="24"/>
        </w:rPr>
        <w:t>源于此物质或混合物的特别的危害</w:t>
      </w:r>
      <w:r>
        <w:rPr>
          <w:rFonts w:hint="eastAsia" w:cs="宋体"/>
          <w:b/>
          <w:bCs/>
          <w:sz w:val="24"/>
          <w:szCs w:val="24"/>
          <w:lang w:val="en-US" w:eastAsia="zh-CN"/>
        </w:rPr>
        <w:t>：</w:t>
      </w:r>
      <w:r>
        <w:rPr>
          <w:rFonts w:ascii="宋体" w:hAnsi="宋体" w:eastAsia="宋体" w:cs="宋体"/>
          <w:sz w:val="24"/>
          <w:szCs w:val="24"/>
        </w:rPr>
        <w:t>如必要的话,戴自给式呼吸器去救火。</w:t>
      </w:r>
    </w:p>
    <w:p w14:paraId="318F3499">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default" w:cs="宋体"/>
          <w:b w:val="0"/>
          <w:bCs w:val="0"/>
          <w:sz w:val="24"/>
          <w:szCs w:val="24"/>
          <w:lang w:val="en-US" w:eastAsia="zh-CN"/>
        </w:rPr>
      </w:pPr>
      <w:r>
        <w:rPr>
          <w:rFonts w:hint="default" w:cs="宋体"/>
          <w:b/>
          <w:bCs/>
          <w:sz w:val="24"/>
          <w:szCs w:val="24"/>
          <w:lang w:val="en-US" w:eastAsia="zh-CN"/>
        </w:rPr>
        <w:t>Special Hazards:</w:t>
      </w:r>
      <w:r>
        <w:rPr>
          <w:rFonts w:hint="default" w:cs="宋体"/>
          <w:b w:val="0"/>
          <w:bCs w:val="0"/>
          <w:sz w:val="24"/>
          <w:szCs w:val="24"/>
          <w:lang w:val="en-US" w:eastAsia="zh-CN"/>
        </w:rPr>
        <w:t xml:space="preserve"> If necessary, wear self-contained breathing apparatus for firefighting.</w:t>
      </w:r>
    </w:p>
    <w:p w14:paraId="220112D2">
      <w:pPr>
        <w:pStyle w:val="10"/>
        <w:spacing w:before="71" w:line="221" w:lineRule="auto"/>
        <w:ind w:left="239" w:leftChars="114" w:firstLine="0" w:firstLineChars="0"/>
        <w:outlineLvl w:val="0"/>
        <w:rPr>
          <w:rFonts w:hint="eastAsia" w:cs="宋体"/>
          <w:sz w:val="24"/>
          <w:szCs w:val="24"/>
          <w:lang w:eastAsia="zh-CN"/>
        </w:rPr>
      </w:pPr>
    </w:p>
    <w:p w14:paraId="4C6C72FD">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6.</w:t>
      </w:r>
      <w:r>
        <w:rPr>
          <w:rFonts w:hint="eastAsia" w:ascii="Times New Roman" w:hAnsi="Times New Roman" w:eastAsia="宋体" w:cs="宋体"/>
          <w:b/>
          <w:sz w:val="30"/>
          <w:szCs w:val="30"/>
          <w:lang w:val="en-US" w:eastAsia="zh-CN"/>
        </w:rPr>
        <w:t>泄露应急处理</w:t>
      </w:r>
    </w:p>
    <w:p w14:paraId="014230A6">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ascii="Times New Roman" w:hAnsi="Times New Roman" w:eastAsia="宋体"/>
          <w:b/>
        </w:rPr>
      </w:pPr>
      <w:r>
        <w:rPr>
          <w:rFonts w:hint="eastAsia" w:ascii="Times New Roman" w:hAnsi="Times New Roman" w:eastAsia="宋体" w:cs="宋体"/>
          <w:b/>
          <w:sz w:val="30"/>
          <w:szCs w:val="30"/>
          <w:lang w:val="en-US" w:eastAsia="zh-CN"/>
        </w:rPr>
        <w:t>Leakage emergency treatment</w:t>
      </w:r>
    </w:p>
    <w:p w14:paraId="76AEB3EF">
      <w:pPr>
        <w:pStyle w:val="10"/>
        <w:spacing w:before="71" w:line="221" w:lineRule="auto"/>
        <w:ind w:left="239" w:leftChars="114" w:firstLine="0" w:firstLineChars="0"/>
        <w:outlineLvl w:val="0"/>
        <w:rPr>
          <w:rFonts w:ascii="宋体" w:hAnsi="宋体" w:eastAsia="宋体" w:cs="宋体"/>
          <w:sz w:val="24"/>
          <w:szCs w:val="24"/>
        </w:rPr>
      </w:pPr>
    </w:p>
    <w:p w14:paraId="69EFCC88">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人员的预防,防护设备和紧急处理程序</w:t>
      </w:r>
      <w:r>
        <w:rPr>
          <w:rFonts w:hint="eastAsia" w:cs="宋体"/>
          <w:b/>
          <w:bCs/>
          <w:sz w:val="24"/>
          <w:szCs w:val="24"/>
          <w:lang w:eastAsia="zh-CN"/>
        </w:rPr>
        <w:t>：</w:t>
      </w:r>
      <w:r>
        <w:rPr>
          <w:rFonts w:hint="eastAsia" w:ascii="宋体" w:hAnsi="宋体" w:eastAsia="宋体" w:cs="宋体"/>
          <w:sz w:val="24"/>
          <w:szCs w:val="24"/>
        </w:rPr>
        <w:t>防止粉尘的生成</w:t>
      </w:r>
      <w:r>
        <w:rPr>
          <w:rFonts w:hint="eastAsia" w:cs="宋体"/>
          <w:sz w:val="24"/>
          <w:szCs w:val="24"/>
          <w:lang w:eastAsia="zh-CN"/>
        </w:rPr>
        <w:t>，</w:t>
      </w:r>
      <w:r>
        <w:rPr>
          <w:rFonts w:hint="eastAsia" w:ascii="宋体" w:hAnsi="宋体" w:eastAsia="宋体" w:cs="宋体"/>
          <w:sz w:val="24"/>
          <w:szCs w:val="24"/>
        </w:rPr>
        <w:t>避免吸入粉尘。撤出危险区域，遵守紧急措施，请教专业人员</w:t>
      </w:r>
      <w:r>
        <w:rPr>
          <w:rFonts w:hint="eastAsia" w:cs="宋体"/>
          <w:sz w:val="24"/>
          <w:szCs w:val="24"/>
          <w:lang w:eastAsia="zh-CN"/>
        </w:rPr>
        <w:t>，</w:t>
      </w:r>
      <w:r>
        <w:rPr>
          <w:rFonts w:hint="eastAsia" w:ascii="宋体" w:hAnsi="宋体" w:eastAsia="宋体" w:cs="宋体"/>
          <w:sz w:val="24"/>
          <w:szCs w:val="24"/>
        </w:rPr>
        <w:t>防止吸入蒸汽、气雾或气体。</w:t>
      </w:r>
    </w:p>
    <w:p w14:paraId="25EE648E">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Personal precautions, protective equipment and emergency procedures:</w:t>
      </w:r>
      <w:r>
        <w:rPr>
          <w:rFonts w:hint="eastAsia" w:ascii="宋体" w:hAnsi="宋体" w:eastAsia="宋体" w:cs="宋体"/>
          <w:sz w:val="24"/>
          <w:szCs w:val="24"/>
        </w:rPr>
        <w:t xml:space="preserve"> Prevent dust formation and avoid inhalation of dust. Evacuate the danger zone, follow emergency procedures, consult a qualified professional, and avoid inhalation of vapors, mists or gases.</w:t>
      </w:r>
    </w:p>
    <w:p w14:paraId="20320F38">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环境预防措施</w:t>
      </w:r>
      <w:r>
        <w:rPr>
          <w:rFonts w:hint="eastAsia" w:cs="宋体"/>
          <w:b/>
          <w:bCs/>
          <w:sz w:val="24"/>
          <w:szCs w:val="24"/>
          <w:lang w:val="en-US" w:eastAsia="zh-CN"/>
        </w:rPr>
        <w:t>:</w:t>
      </w:r>
      <w:r>
        <w:rPr>
          <w:rFonts w:hint="eastAsia" w:ascii="宋体" w:hAnsi="宋体" w:eastAsia="宋体" w:cs="宋体"/>
          <w:sz w:val="24"/>
          <w:szCs w:val="24"/>
        </w:rPr>
        <w:t>不要让产物进入下水道。</w:t>
      </w:r>
    </w:p>
    <w:p w14:paraId="29F1EFE0">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lang w:eastAsia="zh-CN"/>
        </w:rPr>
      </w:pPr>
      <w:r>
        <w:rPr>
          <w:rFonts w:hint="eastAsia" w:ascii="宋体" w:hAnsi="宋体" w:eastAsia="宋体" w:cs="宋体"/>
          <w:b/>
          <w:bCs/>
          <w:sz w:val="24"/>
          <w:szCs w:val="24"/>
        </w:rPr>
        <w:t>Environmental precautions:</w:t>
      </w:r>
      <w:r>
        <w:rPr>
          <w:rFonts w:hint="eastAsia" w:ascii="宋体" w:hAnsi="宋体" w:eastAsia="宋体" w:cs="宋体"/>
          <w:sz w:val="24"/>
          <w:szCs w:val="24"/>
        </w:rPr>
        <w:t xml:space="preserve"> Do not allow product to enter drains.</w:t>
      </w:r>
    </w:p>
    <w:p w14:paraId="43861EEA">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抑制和清除溢出物的方法和材料</w:t>
      </w:r>
      <w:r>
        <w:rPr>
          <w:rFonts w:hint="eastAsia" w:cs="宋体"/>
          <w:b/>
          <w:bCs/>
          <w:sz w:val="24"/>
          <w:szCs w:val="24"/>
          <w:lang w:val="en-US" w:eastAsia="zh-CN"/>
        </w:rPr>
        <w:t xml:space="preserve">: </w:t>
      </w:r>
      <w:r>
        <w:rPr>
          <w:rFonts w:hint="eastAsia" w:ascii="宋体" w:hAnsi="宋体" w:eastAsia="宋体" w:cs="宋体"/>
          <w:sz w:val="24"/>
          <w:szCs w:val="24"/>
        </w:rPr>
        <w:t>遵照可能的物质使用限制。干燥处理</w:t>
      </w:r>
      <w:r>
        <w:rPr>
          <w:rFonts w:hint="eastAsia" w:cs="宋体"/>
          <w:sz w:val="24"/>
          <w:szCs w:val="24"/>
          <w:lang w:eastAsia="zh-CN"/>
        </w:rPr>
        <w:t>，</w:t>
      </w:r>
      <w:r>
        <w:rPr>
          <w:rFonts w:hint="eastAsia" w:ascii="宋体" w:hAnsi="宋体" w:eastAsia="宋体" w:cs="宋体"/>
          <w:sz w:val="24"/>
          <w:szCs w:val="24"/>
        </w:rPr>
        <w:t>并依化学废弃物处置，清理受影响的区域。避免生成粉尘。</w:t>
      </w:r>
    </w:p>
    <w:p w14:paraId="46A7F73C">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Methods and materials for containment and cleanup:</w:t>
      </w:r>
      <w:r>
        <w:rPr>
          <w:rFonts w:hint="eastAsia" w:ascii="宋体" w:hAnsi="宋体" w:eastAsia="宋体" w:cs="宋体"/>
          <w:sz w:val="24"/>
          <w:szCs w:val="24"/>
        </w:rPr>
        <w:t xml:space="preserve"> Observe possible restrictions on the use of substances. Handle dry and dispose of as chemical waste and clean up affected area. Avoid the creation of dust.</w:t>
      </w:r>
    </w:p>
    <w:p w14:paraId="37C6DCAD">
      <w:pPr>
        <w:pStyle w:val="10"/>
        <w:spacing w:before="71" w:line="221" w:lineRule="auto"/>
        <w:ind w:left="239" w:leftChars="114" w:firstLine="0" w:firstLineChars="0"/>
        <w:outlineLvl w:val="0"/>
        <w:rPr>
          <w:rFonts w:hint="default" w:ascii="Helvetica" w:hAnsi="Helvetica" w:eastAsia="Helvetica" w:cs="Helvetica"/>
          <w:i w:val="0"/>
          <w:iCs w:val="0"/>
          <w:caps w:val="0"/>
          <w:color w:val="333333"/>
          <w:spacing w:val="0"/>
          <w:sz w:val="21"/>
          <w:szCs w:val="21"/>
          <w:shd w:val="clear" w:fill="FFFFFF"/>
          <w:lang w:val="en-US" w:eastAsia="zh-CN"/>
        </w:rPr>
      </w:pPr>
    </w:p>
    <w:p w14:paraId="2E579776">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7.</w:t>
      </w:r>
      <w:r>
        <w:rPr>
          <w:rFonts w:hint="eastAsia" w:ascii="Times New Roman" w:hAnsi="Times New Roman" w:eastAsia="宋体" w:cs="宋体"/>
          <w:b/>
          <w:sz w:val="30"/>
          <w:szCs w:val="30"/>
          <w:lang w:val="en-US" w:eastAsia="zh-CN"/>
        </w:rPr>
        <w:t>操作处置和储存</w:t>
      </w:r>
    </w:p>
    <w:p w14:paraId="600B7E47">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hint="eastAsia" w:ascii="Times New Roman" w:hAnsi="Times New Roman" w:eastAsia="宋体" w:cs="宋体"/>
          <w:b/>
          <w:sz w:val="24"/>
          <w:szCs w:val="24"/>
          <w:lang w:val="en-US" w:eastAsia="zh-CN"/>
        </w:rPr>
      </w:pPr>
      <w:r>
        <w:rPr>
          <w:rFonts w:hint="eastAsia" w:ascii="Times New Roman" w:hAnsi="Times New Roman" w:eastAsia="宋体" w:cs="宋体"/>
          <w:b/>
          <w:sz w:val="30"/>
          <w:szCs w:val="30"/>
          <w:lang w:val="en-US" w:eastAsia="zh-CN"/>
        </w:rPr>
        <w:t>Handling and storage</w:t>
      </w:r>
    </w:p>
    <w:p w14:paraId="56DDE171">
      <w:pPr>
        <w:pStyle w:val="10"/>
        <w:numPr>
          <w:ilvl w:val="0"/>
          <w:numId w:val="0"/>
        </w:numPr>
        <w:spacing w:before="71" w:line="221" w:lineRule="auto"/>
        <w:ind w:left="239" w:leftChars="114" w:firstLine="0" w:firstLineChars="0"/>
        <w:outlineLvl w:val="0"/>
        <w:rPr>
          <w:rFonts w:ascii="宋体" w:hAnsi="宋体" w:eastAsia="宋体" w:cs="宋体"/>
          <w:sz w:val="24"/>
          <w:szCs w:val="24"/>
        </w:rPr>
      </w:pPr>
    </w:p>
    <w:p w14:paraId="50D68B6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i w:val="0"/>
          <w:iCs w:val="0"/>
          <w:caps w:val="0"/>
          <w:color w:val="333333"/>
          <w:spacing w:val="0"/>
          <w:sz w:val="24"/>
          <w:szCs w:val="24"/>
          <w:shd w:val="clear" w:fill="FFFFFF"/>
        </w:rPr>
      </w:pPr>
      <w:r>
        <w:rPr>
          <w:rFonts w:ascii="宋体" w:hAnsi="宋体" w:eastAsia="宋体" w:cs="宋体"/>
          <w:b/>
          <w:bCs/>
          <w:sz w:val="24"/>
          <w:szCs w:val="24"/>
        </w:rPr>
        <w:t>安全操作的注意事项</w:t>
      </w:r>
      <w:r>
        <w:rPr>
          <w:rFonts w:hint="eastAsia" w:ascii="宋体" w:hAnsi="宋体" w:eastAsia="宋体" w:cs="宋体"/>
          <w:b/>
          <w:bCs/>
          <w:sz w:val="24"/>
          <w:szCs w:val="24"/>
          <w:lang w:val="en-US" w:eastAsia="zh-CN"/>
        </w:rPr>
        <w:t>:</w:t>
      </w:r>
      <w:r>
        <w:rPr>
          <w:rFonts w:hint="eastAsia" w:ascii="宋体" w:hAnsi="宋体" w:eastAsia="宋体" w:cs="宋体"/>
          <w:i w:val="0"/>
          <w:iCs w:val="0"/>
          <w:caps w:val="0"/>
          <w:color w:val="333333"/>
          <w:spacing w:val="0"/>
          <w:sz w:val="24"/>
          <w:szCs w:val="24"/>
          <w:shd w:val="clear" w:fill="FFFFFF"/>
        </w:rPr>
        <w:t>在有粉尘生成的地方,提供合适的排风设备。避免吸入物质/混合物。</w:t>
      </w:r>
    </w:p>
    <w:p w14:paraId="7D4242C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b/>
          <w:bCs/>
          <w:i w:val="0"/>
          <w:iCs w:val="0"/>
          <w:caps w:val="0"/>
          <w:color w:val="333333"/>
          <w:spacing w:val="0"/>
          <w:sz w:val="24"/>
          <w:szCs w:val="24"/>
          <w:shd w:val="clear" w:fill="FFFFFF"/>
          <w:lang w:val="en-US" w:eastAsia="zh-CN"/>
        </w:rPr>
        <w:t>Precautions for safe handling:</w:t>
      </w:r>
      <w:r>
        <w:rPr>
          <w:rFonts w:hint="eastAsia" w:ascii="宋体" w:hAnsi="宋体" w:eastAsia="宋体" w:cs="宋体"/>
          <w:i w:val="0"/>
          <w:iCs w:val="0"/>
          <w:caps w:val="0"/>
          <w:color w:val="333333"/>
          <w:spacing w:val="0"/>
          <w:sz w:val="24"/>
          <w:szCs w:val="24"/>
          <w:shd w:val="clear" w:fill="FFFFFF"/>
          <w:lang w:val="en-US" w:eastAsia="zh-CN"/>
        </w:rPr>
        <w:t xml:space="preserve"> Provide suitable exhaust equipment where dust is generated.Avoid inhalation of substance/mixture.</w:t>
      </w:r>
    </w:p>
    <w:p w14:paraId="479AE2C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hint="default" w:ascii="宋体" w:hAnsi="宋体" w:eastAsia="宋体" w:cs="宋体"/>
          <w:b/>
          <w:bCs/>
          <w:sz w:val="24"/>
          <w:szCs w:val="24"/>
        </w:rPr>
        <w:t>安全储存的条件,包括任何不兼容性</w:t>
      </w:r>
      <w:r>
        <w:rPr>
          <w:rFonts w:hint="eastAsia" w:ascii="宋体" w:hAnsi="宋体" w:eastAsia="宋体" w:cs="宋体"/>
          <w:b/>
          <w:bCs/>
          <w:sz w:val="24"/>
          <w:szCs w:val="24"/>
          <w:lang w:val="en-US" w:eastAsia="zh-CN"/>
        </w:rPr>
        <w:t>:</w:t>
      </w:r>
      <w:r>
        <w:rPr>
          <w:rFonts w:hint="eastAsia" w:ascii="宋体" w:hAnsi="宋体" w:eastAsia="宋体" w:cs="宋体"/>
          <w:sz w:val="24"/>
          <w:szCs w:val="24"/>
        </w:rPr>
        <w:t>储存于阴凉、通风的库房。远离火种、热源。应与酸类</w:t>
      </w:r>
      <w:r>
        <w:rPr>
          <w:rFonts w:hint="eastAsia" w:ascii="宋体" w:hAnsi="宋体" w:eastAsia="宋体" w:cs="宋体"/>
          <w:sz w:val="24"/>
          <w:szCs w:val="24"/>
          <w:lang w:eastAsia="zh-CN"/>
        </w:rPr>
        <w:t>，</w:t>
      </w:r>
      <w:r>
        <w:rPr>
          <w:rFonts w:hint="eastAsia" w:ascii="宋体" w:hAnsi="宋体" w:eastAsia="宋体" w:cs="宋体"/>
          <w:sz w:val="24"/>
          <w:szCs w:val="24"/>
        </w:rPr>
        <w:t>碱分开存放放，切忌混储。储区应备有合适的材料收容泄漏物。</w:t>
      </w:r>
    </w:p>
    <w:p w14:paraId="1CC96AD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Conditions for safe storage, including any incompatibilities:</w:t>
      </w:r>
      <w:r>
        <w:rPr>
          <w:rFonts w:hint="default" w:ascii="宋体" w:hAnsi="宋体" w:eastAsia="宋体" w:cs="宋体"/>
          <w:sz w:val="24"/>
          <w:szCs w:val="24"/>
          <w:lang w:val="en-US" w:eastAsia="zh-CN"/>
        </w:rPr>
        <w:t xml:space="preserve"> Store in a cool, ventilated warehouse. Keep away from fire and heat sources. Store separately from acids and alkalis and avoid mixing. The storage area should be equipped with appropriate materials to contain leaks.</w:t>
      </w:r>
    </w:p>
    <w:p w14:paraId="7D9A5E0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p>
    <w:p w14:paraId="3DABECD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8.接触控制和个体防护</w:t>
      </w:r>
    </w:p>
    <w:p w14:paraId="49E6E93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Exposure controls and personal protection</w:t>
      </w:r>
    </w:p>
    <w:p w14:paraId="77E93559">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p>
    <w:p w14:paraId="3106E1A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rPr>
      </w:pPr>
      <w:r>
        <w:rPr>
          <w:rFonts w:ascii="宋体" w:hAnsi="宋体" w:eastAsia="宋体" w:cs="宋体"/>
          <w:b/>
          <w:bCs/>
          <w:sz w:val="24"/>
          <w:szCs w:val="24"/>
        </w:rPr>
        <w:t>工程控制：</w:t>
      </w:r>
      <w:r>
        <w:rPr>
          <w:rFonts w:hint="eastAsia" w:ascii="宋体" w:hAnsi="宋体" w:eastAsia="宋体" w:cs="宋体"/>
          <w:i w:val="0"/>
          <w:iCs w:val="0"/>
          <w:caps w:val="0"/>
          <w:color w:val="auto"/>
          <w:spacing w:val="0"/>
          <w:sz w:val="24"/>
          <w:szCs w:val="24"/>
          <w:shd w:val="clear" w:fill="FFFFFF"/>
        </w:rPr>
        <w:t>尽可能安装封闭体系或局部排风系统，操作人员切勿直接接触。同时安装淋浴器和洗眼器。</w:t>
      </w:r>
    </w:p>
    <w:p w14:paraId="1690101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Engineering control:</w:t>
      </w:r>
      <w:r>
        <w:rPr>
          <w:rFonts w:hint="eastAsia" w:ascii="宋体" w:hAnsi="宋体" w:eastAsia="宋体" w:cs="宋体"/>
          <w:color w:val="auto"/>
          <w:sz w:val="24"/>
          <w:szCs w:val="24"/>
        </w:rPr>
        <w:t>Install a closed system or local exhaust system as much as possible, and operators should not come into direct contact with it. Also install a shower and eyewash station.</w:t>
      </w:r>
    </w:p>
    <w:p w14:paraId="4C9DD38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ascii="宋体" w:hAnsi="宋体" w:eastAsia="宋体" w:cs="宋体"/>
          <w:b/>
          <w:bCs/>
          <w:color w:val="auto"/>
          <w:sz w:val="24"/>
          <w:szCs w:val="24"/>
        </w:rPr>
        <w:t>呼吸系统防护：</w:t>
      </w:r>
      <w:r>
        <w:rPr>
          <w:rFonts w:ascii="宋体" w:hAnsi="宋体" w:eastAsia="宋体" w:cs="宋体"/>
          <w:color w:val="auto"/>
          <w:sz w:val="24"/>
          <w:szCs w:val="24"/>
        </w:rPr>
        <w:t>作业工人建议佩戴防尘口罩。</w:t>
      </w:r>
    </w:p>
    <w:p w14:paraId="0DEB6ED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Respiratory system protection:</w:t>
      </w:r>
      <w:r>
        <w:rPr>
          <w:rFonts w:hint="eastAsia" w:ascii="宋体" w:hAnsi="宋体" w:eastAsia="宋体" w:cs="宋体"/>
          <w:color w:val="auto"/>
          <w:sz w:val="24"/>
          <w:szCs w:val="24"/>
        </w:rPr>
        <w:t xml:space="preserve"> Workers are recommended to wear dust masks.</w:t>
      </w:r>
    </w:p>
    <w:p w14:paraId="77812F4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ascii="宋体" w:hAnsi="宋体" w:eastAsia="宋体" w:cs="宋体"/>
          <w:b/>
          <w:bCs/>
          <w:color w:val="auto"/>
          <w:sz w:val="24"/>
          <w:szCs w:val="24"/>
        </w:rPr>
        <w:t>眼睛防护：</w:t>
      </w:r>
      <w:r>
        <w:rPr>
          <w:rFonts w:ascii="宋体" w:hAnsi="宋体" w:eastAsia="宋体" w:cs="宋体"/>
          <w:color w:val="auto"/>
          <w:sz w:val="24"/>
          <w:szCs w:val="24"/>
        </w:rPr>
        <w:t>戴化学安全防护眼镜。</w:t>
      </w:r>
    </w:p>
    <w:p w14:paraId="4FB07FE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Eye protection:</w:t>
      </w:r>
      <w:r>
        <w:rPr>
          <w:rFonts w:hint="eastAsia" w:ascii="宋体" w:hAnsi="宋体" w:eastAsia="宋体" w:cs="宋体"/>
          <w:color w:val="auto"/>
          <w:sz w:val="24"/>
          <w:szCs w:val="24"/>
        </w:rPr>
        <w:t xml:space="preserve"> Wear chemical safety glasses.</w:t>
      </w:r>
    </w:p>
    <w:p w14:paraId="4FF53B8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ascii="宋体" w:hAnsi="宋体" w:eastAsia="宋体" w:cs="宋体"/>
          <w:b/>
          <w:bCs/>
          <w:color w:val="auto"/>
          <w:sz w:val="24"/>
          <w:szCs w:val="24"/>
        </w:rPr>
        <w:t>身体防护：</w:t>
      </w:r>
      <w:r>
        <w:rPr>
          <w:rFonts w:ascii="宋体" w:hAnsi="宋体" w:eastAsia="宋体" w:cs="宋体"/>
          <w:color w:val="auto"/>
          <w:sz w:val="24"/>
          <w:szCs w:val="24"/>
        </w:rPr>
        <w:t>防护服。</w:t>
      </w:r>
    </w:p>
    <w:p w14:paraId="7899506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Body protection:</w:t>
      </w:r>
      <w:r>
        <w:rPr>
          <w:rFonts w:hint="eastAsia" w:ascii="宋体" w:hAnsi="宋体" w:eastAsia="宋体" w:cs="宋体"/>
          <w:color w:val="auto"/>
          <w:sz w:val="24"/>
          <w:szCs w:val="24"/>
        </w:rPr>
        <w:t xml:space="preserve"> Protective clothing.</w:t>
      </w:r>
      <w:r>
        <w:rPr>
          <w:rFonts w:ascii="宋体" w:hAnsi="宋体" w:eastAsia="宋体" w:cs="宋体"/>
          <w:color w:val="auto"/>
          <w:sz w:val="24"/>
          <w:szCs w:val="24"/>
        </w:rPr>
        <w:t> </w:t>
      </w:r>
    </w:p>
    <w:p w14:paraId="00F4BF7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ascii="宋体" w:hAnsi="宋体" w:eastAsia="宋体" w:cs="宋体"/>
          <w:b/>
          <w:bCs/>
          <w:color w:val="auto"/>
          <w:sz w:val="24"/>
          <w:szCs w:val="24"/>
        </w:rPr>
        <w:t>手防护：</w:t>
      </w:r>
      <w:r>
        <w:rPr>
          <w:rFonts w:ascii="宋体" w:hAnsi="宋体" w:eastAsia="宋体" w:cs="宋体"/>
          <w:color w:val="auto"/>
          <w:sz w:val="24"/>
          <w:szCs w:val="24"/>
        </w:rPr>
        <w:t>配戴防护手套。</w:t>
      </w:r>
    </w:p>
    <w:p w14:paraId="194E334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Hand protection:</w:t>
      </w:r>
      <w:r>
        <w:rPr>
          <w:rFonts w:hint="eastAsia" w:ascii="宋体" w:hAnsi="宋体" w:eastAsia="宋体" w:cs="宋体"/>
          <w:color w:val="auto"/>
          <w:sz w:val="24"/>
          <w:szCs w:val="24"/>
        </w:rPr>
        <w:t xml:space="preserve"> Wear protective gloves.</w:t>
      </w:r>
    </w:p>
    <w:p w14:paraId="10E3752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ascii="宋体" w:hAnsi="宋体" w:eastAsia="宋体" w:cs="宋体"/>
          <w:b/>
          <w:bCs/>
          <w:color w:val="auto"/>
          <w:sz w:val="24"/>
          <w:szCs w:val="24"/>
        </w:rPr>
        <w:t>其他防护：</w:t>
      </w:r>
      <w:r>
        <w:rPr>
          <w:rFonts w:ascii="宋体" w:hAnsi="宋体" w:eastAsia="宋体" w:cs="宋体"/>
          <w:color w:val="auto"/>
          <w:sz w:val="24"/>
          <w:szCs w:val="24"/>
        </w:rPr>
        <w:t>及时换洗工作服。注意个人清洁卫生。</w:t>
      </w:r>
    </w:p>
    <w:p w14:paraId="70D594C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color w:val="auto"/>
          <w:sz w:val="24"/>
          <w:szCs w:val="24"/>
          <w:lang w:val="en-US" w:eastAsia="zh-CN"/>
        </w:rPr>
      </w:pPr>
      <w:r>
        <w:rPr>
          <w:rFonts w:hint="default" w:ascii="宋体" w:hAnsi="宋体" w:eastAsia="宋体" w:cs="宋体"/>
          <w:b/>
          <w:bCs/>
          <w:color w:val="auto"/>
          <w:sz w:val="24"/>
          <w:szCs w:val="24"/>
          <w:lang w:val="en-US" w:eastAsia="zh-CN"/>
        </w:rPr>
        <w:t>Other protection:</w:t>
      </w:r>
      <w:r>
        <w:rPr>
          <w:rFonts w:hint="default" w:ascii="宋体" w:hAnsi="宋体" w:eastAsia="宋体" w:cs="宋体"/>
          <w:color w:val="auto"/>
          <w:sz w:val="24"/>
          <w:szCs w:val="24"/>
          <w:lang w:val="en-US" w:eastAsia="zh-CN"/>
        </w:rPr>
        <w:t xml:space="preserve"> Change and wash work clothes in time. Pay attention to personal hygiene.</w:t>
      </w:r>
    </w:p>
    <w:p w14:paraId="7F5FCA57">
      <w:pPr>
        <w:numPr>
          <w:ilvl w:val="0"/>
          <w:numId w:val="0"/>
        </w:numPr>
        <w:ind w:left="239" w:leftChars="114" w:firstLine="0" w:firstLineChars="0"/>
        <w:jc w:val="left"/>
        <w:rPr>
          <w:rFonts w:hint="default" w:ascii="宋体" w:hAnsi="宋体" w:eastAsia="宋体" w:cs="宋体"/>
          <w:color w:val="auto"/>
          <w:sz w:val="24"/>
          <w:szCs w:val="24"/>
          <w:lang w:val="en-US" w:eastAsia="zh-CN"/>
        </w:rPr>
      </w:pPr>
    </w:p>
    <w:p w14:paraId="2C810A64">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9.理化特性</w:t>
      </w:r>
    </w:p>
    <w:p w14:paraId="01A3665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114"/>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Physical and chemical properties</w:t>
      </w:r>
    </w:p>
    <w:p w14:paraId="49F96F4C">
      <w:pPr>
        <w:numPr>
          <w:ilvl w:val="0"/>
          <w:numId w:val="0"/>
        </w:numPr>
        <w:ind w:leftChars="114"/>
        <w:jc w:val="left"/>
        <w:rPr>
          <w:rFonts w:hint="eastAsia" w:ascii="Times New Roman" w:hAnsi="Times New Roman" w:eastAsia="宋体" w:cs="宋体"/>
          <w:b/>
          <w:color w:val="auto"/>
          <w:sz w:val="24"/>
          <w:szCs w:val="24"/>
          <w:lang w:val="en-US" w:eastAsia="zh-CN"/>
        </w:rPr>
      </w:pPr>
    </w:p>
    <w:tbl>
      <w:tblPr>
        <w:tblStyle w:val="7"/>
        <w:tblW w:w="8070" w:type="dxa"/>
        <w:tblInd w:w="3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46"/>
        <w:gridCol w:w="4624"/>
      </w:tblGrid>
      <w:tr w14:paraId="20331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446" w:type="dxa"/>
            <w:vAlign w:val="center"/>
          </w:tcPr>
          <w:p w14:paraId="4376B406">
            <w:pPr>
              <w:pStyle w:val="10"/>
              <w:keepNext w:val="0"/>
              <w:keepLines w:val="0"/>
              <w:pageBreakBefore w:val="0"/>
              <w:widowControl w:val="0"/>
              <w:kinsoku/>
              <w:wordWrap/>
              <w:overflowPunct/>
              <w:topLinePunct w:val="0"/>
              <w:autoSpaceDE/>
              <w:autoSpaceDN/>
              <w:bidi w:val="0"/>
              <w:adjustRightInd/>
              <w:snapToGrid/>
              <w:spacing w:before="40" w:line="360" w:lineRule="exact"/>
              <w:jc w:val="left"/>
              <w:textAlignment w:val="auto"/>
              <w:outlineLvl w:val="0"/>
              <w:rPr>
                <w:rFonts w:hint="default" w:ascii="宋体" w:hAnsi="宋体" w:eastAsia="宋体" w:cs="宋体"/>
                <w:b/>
                <w:bCs/>
                <w:color w:val="auto"/>
                <w:kern w:val="2"/>
                <w:sz w:val="24"/>
                <w:szCs w:val="24"/>
                <w:lang w:val="en-US" w:eastAsia="zh-CN" w:bidi="ar-SA"/>
              </w:rPr>
            </w:pPr>
            <w:r>
              <w:rPr>
                <w:b/>
                <w:bCs/>
                <w:color w:val="auto"/>
                <w:spacing w:val="-5"/>
              </w:rPr>
              <w:t>颜色</w:t>
            </w:r>
            <w:r>
              <w:rPr>
                <w:rFonts w:hint="eastAsia"/>
                <w:b/>
                <w:bCs/>
                <w:color w:val="auto"/>
                <w:spacing w:val="-5"/>
              </w:rPr>
              <w:t>Color</w:t>
            </w:r>
          </w:p>
        </w:tc>
        <w:tc>
          <w:tcPr>
            <w:tcW w:w="4624" w:type="dxa"/>
            <w:vAlign w:val="center"/>
          </w:tcPr>
          <w:p w14:paraId="795DAF3A">
            <w:pPr>
              <w:pStyle w:val="10"/>
              <w:keepNext w:val="0"/>
              <w:keepLines w:val="0"/>
              <w:pageBreakBefore w:val="0"/>
              <w:widowControl w:val="0"/>
              <w:kinsoku/>
              <w:wordWrap/>
              <w:overflowPunct/>
              <w:topLinePunct w:val="0"/>
              <w:autoSpaceDE/>
              <w:autoSpaceDN/>
              <w:bidi w:val="0"/>
              <w:adjustRightInd/>
              <w:snapToGrid/>
              <w:spacing w:before="40" w:line="360" w:lineRule="exact"/>
              <w:jc w:val="left"/>
              <w:textAlignment w:val="auto"/>
              <w:outlineLvl w:val="0"/>
              <w:rPr>
                <w:rFonts w:hint="default" w:ascii="宋体" w:hAnsi="宋体" w:eastAsia="宋体" w:cs="宋体"/>
                <w:color w:val="auto"/>
                <w:kern w:val="2"/>
                <w:sz w:val="24"/>
                <w:szCs w:val="24"/>
                <w:lang w:val="en-US" w:eastAsia="zh-CN" w:bidi="ar-SA"/>
              </w:rPr>
            </w:pPr>
            <w:r>
              <w:rPr>
                <w:rFonts w:hint="eastAsia" w:cs="宋体"/>
                <w:color w:val="auto"/>
                <w:kern w:val="2"/>
                <w:sz w:val="24"/>
                <w:szCs w:val="24"/>
                <w:lang w:val="en-US" w:eastAsia="zh-CN" w:bidi="ar-SA"/>
              </w:rPr>
              <w:t>浅灰色Light gray</w:t>
            </w:r>
          </w:p>
        </w:tc>
      </w:tr>
      <w:tr w14:paraId="7FC8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3446" w:type="dxa"/>
            <w:vAlign w:val="center"/>
          </w:tcPr>
          <w:p w14:paraId="198CC22A">
            <w:pPr>
              <w:pStyle w:val="10"/>
              <w:keepNext w:val="0"/>
              <w:keepLines w:val="0"/>
              <w:pageBreakBefore w:val="0"/>
              <w:widowControl w:val="0"/>
              <w:kinsoku/>
              <w:wordWrap/>
              <w:overflowPunct/>
              <w:topLinePunct w:val="0"/>
              <w:autoSpaceDE/>
              <w:autoSpaceDN/>
              <w:bidi w:val="0"/>
              <w:adjustRightInd/>
              <w:snapToGrid/>
              <w:spacing w:before="37" w:line="360" w:lineRule="exact"/>
              <w:jc w:val="left"/>
              <w:textAlignment w:val="auto"/>
              <w:outlineLvl w:val="0"/>
              <w:rPr>
                <w:rFonts w:hint="default" w:ascii="宋体" w:hAnsi="宋体" w:eastAsia="宋体" w:cs="宋体"/>
                <w:b/>
                <w:bCs/>
                <w:color w:val="auto"/>
                <w:kern w:val="2"/>
                <w:sz w:val="24"/>
                <w:szCs w:val="24"/>
                <w:lang w:val="en-US" w:eastAsia="zh-CN" w:bidi="ar-SA"/>
              </w:rPr>
            </w:pPr>
            <w:r>
              <w:rPr>
                <w:b/>
                <w:bCs/>
                <w:color w:val="auto"/>
                <w:spacing w:val="-5"/>
              </w:rPr>
              <w:t>状态</w:t>
            </w:r>
            <w:r>
              <w:rPr>
                <w:rFonts w:hint="eastAsia"/>
                <w:b/>
                <w:bCs/>
                <w:color w:val="auto"/>
                <w:spacing w:val="-5"/>
              </w:rPr>
              <w:t>State</w:t>
            </w:r>
          </w:p>
        </w:tc>
        <w:tc>
          <w:tcPr>
            <w:tcW w:w="4624" w:type="dxa"/>
            <w:vAlign w:val="center"/>
          </w:tcPr>
          <w:p w14:paraId="6CBA3718">
            <w:pPr>
              <w:pStyle w:val="10"/>
              <w:keepNext w:val="0"/>
              <w:keepLines w:val="0"/>
              <w:pageBreakBefore w:val="0"/>
              <w:widowControl w:val="0"/>
              <w:kinsoku/>
              <w:wordWrap/>
              <w:overflowPunct/>
              <w:topLinePunct w:val="0"/>
              <w:autoSpaceDE/>
              <w:autoSpaceDN/>
              <w:bidi w:val="0"/>
              <w:adjustRightInd/>
              <w:snapToGrid/>
              <w:spacing w:before="37" w:line="360" w:lineRule="exact"/>
              <w:jc w:val="left"/>
              <w:textAlignment w:val="auto"/>
              <w:outlineLvl w:val="0"/>
              <w:rPr>
                <w:rFonts w:hint="default" w:ascii="宋体" w:hAnsi="宋体" w:eastAsia="宋体" w:cs="宋体"/>
                <w:color w:val="auto"/>
                <w:kern w:val="2"/>
                <w:sz w:val="24"/>
                <w:szCs w:val="24"/>
                <w:lang w:val="en-US" w:eastAsia="zh-CN" w:bidi="ar-SA"/>
              </w:rPr>
            </w:pPr>
            <w:r>
              <w:rPr>
                <w:rFonts w:hint="eastAsia"/>
                <w:color w:val="auto"/>
                <w:spacing w:val="-5"/>
                <w:lang w:val="en-US" w:eastAsia="zh-CN"/>
              </w:rPr>
              <w:t>液体L</w:t>
            </w:r>
            <w:r>
              <w:rPr>
                <w:rFonts w:hint="eastAsia"/>
                <w:color w:val="auto"/>
                <w:spacing w:val="-5"/>
              </w:rPr>
              <w:t>iquid</w:t>
            </w:r>
          </w:p>
        </w:tc>
      </w:tr>
      <w:tr w14:paraId="2EF58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446" w:type="dxa"/>
            <w:vAlign w:val="center"/>
          </w:tcPr>
          <w:p w14:paraId="228C6099">
            <w:pPr>
              <w:pStyle w:val="10"/>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b/>
                <w:bCs/>
                <w:color w:val="auto"/>
                <w:kern w:val="2"/>
                <w:sz w:val="24"/>
                <w:szCs w:val="24"/>
                <w:lang w:val="en-US" w:eastAsia="zh-CN" w:bidi="ar-SA"/>
              </w:rPr>
            </w:pPr>
            <w:r>
              <w:rPr>
                <w:b/>
                <w:bCs/>
                <w:color w:val="auto"/>
                <w:spacing w:val="-6"/>
              </w:rPr>
              <w:t>气味</w:t>
            </w:r>
            <w:r>
              <w:rPr>
                <w:rFonts w:hint="eastAsia"/>
                <w:b/>
                <w:bCs/>
                <w:color w:val="auto"/>
                <w:spacing w:val="-6"/>
              </w:rPr>
              <w:t>Odor</w:t>
            </w:r>
          </w:p>
        </w:tc>
        <w:tc>
          <w:tcPr>
            <w:tcW w:w="4624" w:type="dxa"/>
            <w:vAlign w:val="center"/>
          </w:tcPr>
          <w:p w14:paraId="5EB97CE4">
            <w:pPr>
              <w:pStyle w:val="10"/>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color w:val="auto"/>
                <w:kern w:val="2"/>
                <w:sz w:val="24"/>
                <w:szCs w:val="24"/>
                <w:lang w:val="en-US" w:eastAsia="zh-CN" w:bidi="ar-SA"/>
              </w:rPr>
            </w:pPr>
            <w:r>
              <w:rPr>
                <w:rFonts w:hint="eastAsia"/>
                <w:spacing w:val="-6"/>
                <w:lang w:val="en-US" w:eastAsia="zh-CN"/>
              </w:rPr>
              <w:t>刺激性气味</w:t>
            </w:r>
            <w:r>
              <w:rPr>
                <w:rFonts w:hint="eastAsia"/>
                <w:spacing w:val="-6"/>
              </w:rPr>
              <w:t>Pungent odor</w:t>
            </w:r>
          </w:p>
        </w:tc>
      </w:tr>
      <w:tr w14:paraId="0D733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trPr>
        <w:tc>
          <w:tcPr>
            <w:tcW w:w="3446" w:type="dxa"/>
            <w:vAlign w:val="center"/>
          </w:tcPr>
          <w:p w14:paraId="6E2A7375">
            <w:pPr>
              <w:pStyle w:val="10"/>
              <w:keepNext w:val="0"/>
              <w:keepLines w:val="0"/>
              <w:pageBreakBefore w:val="0"/>
              <w:widowControl w:val="0"/>
              <w:kinsoku/>
              <w:wordWrap/>
              <w:overflowPunct/>
              <w:topLinePunct w:val="0"/>
              <w:autoSpaceDE/>
              <w:autoSpaceDN/>
              <w:bidi w:val="0"/>
              <w:adjustRightInd/>
              <w:snapToGrid/>
              <w:spacing w:before="36" w:line="240" w:lineRule="auto"/>
              <w:jc w:val="left"/>
              <w:textAlignment w:val="auto"/>
              <w:outlineLvl w:val="0"/>
              <w:rPr>
                <w:rFonts w:hint="eastAsia"/>
                <w:b/>
                <w:bCs/>
                <w:color w:val="auto"/>
                <w:spacing w:val="-6"/>
                <w:lang w:val="en-US" w:eastAsia="zh-CN"/>
              </w:rPr>
            </w:pPr>
            <w:r>
              <w:rPr>
                <w:rFonts w:hint="eastAsia"/>
                <w:b/>
                <w:bCs/>
                <w:color w:val="auto"/>
                <w:spacing w:val="-6"/>
                <w:lang w:val="en-US" w:eastAsia="zh-CN"/>
              </w:rPr>
              <w:t>溶解度</w:t>
            </w:r>
          </w:p>
          <w:p w14:paraId="50EE03E5">
            <w:pPr>
              <w:pStyle w:val="10"/>
              <w:keepNext w:val="0"/>
              <w:keepLines w:val="0"/>
              <w:pageBreakBefore w:val="0"/>
              <w:widowControl w:val="0"/>
              <w:kinsoku/>
              <w:wordWrap/>
              <w:overflowPunct/>
              <w:topLinePunct w:val="0"/>
              <w:autoSpaceDE/>
              <w:autoSpaceDN/>
              <w:bidi w:val="0"/>
              <w:adjustRightInd/>
              <w:snapToGrid/>
              <w:spacing w:before="36" w:line="240" w:lineRule="auto"/>
              <w:jc w:val="left"/>
              <w:textAlignment w:val="auto"/>
              <w:outlineLvl w:val="0"/>
              <w:rPr>
                <w:rFonts w:hint="default" w:ascii="宋体" w:hAnsi="宋体" w:eastAsia="宋体" w:cs="宋体"/>
                <w:b/>
                <w:bCs/>
                <w:color w:val="auto"/>
                <w:kern w:val="2"/>
                <w:sz w:val="24"/>
                <w:szCs w:val="24"/>
                <w:lang w:val="en-US" w:eastAsia="zh-CN" w:bidi="ar-SA"/>
              </w:rPr>
            </w:pPr>
            <w:r>
              <w:rPr>
                <w:rFonts w:hint="eastAsia"/>
                <w:b/>
                <w:bCs/>
                <w:color w:val="auto"/>
                <w:spacing w:val="-6"/>
                <w:lang w:val="en-US" w:eastAsia="zh-CN"/>
              </w:rPr>
              <w:t>Solubility</w:t>
            </w:r>
          </w:p>
        </w:tc>
        <w:tc>
          <w:tcPr>
            <w:tcW w:w="4624" w:type="dxa"/>
            <w:vAlign w:val="center"/>
          </w:tcPr>
          <w:p w14:paraId="61971F8B">
            <w:pPr>
              <w:pStyle w:val="10"/>
              <w:keepNext w:val="0"/>
              <w:keepLines w:val="0"/>
              <w:pageBreakBefore w:val="0"/>
              <w:widowControl w:val="0"/>
              <w:kinsoku/>
              <w:wordWrap/>
              <w:overflowPunct/>
              <w:topLinePunct w:val="0"/>
              <w:autoSpaceDE/>
              <w:autoSpaceDN/>
              <w:bidi w:val="0"/>
              <w:adjustRightInd/>
              <w:snapToGrid/>
              <w:spacing w:before="26" w:line="360" w:lineRule="exact"/>
              <w:jc w:val="left"/>
              <w:textAlignment w:val="auto"/>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不溶于水，溶于浓硫酸、盐酸</w:t>
            </w:r>
          </w:p>
          <w:p w14:paraId="12B504FA">
            <w:pPr>
              <w:pStyle w:val="10"/>
              <w:keepNext w:val="0"/>
              <w:keepLines w:val="0"/>
              <w:pageBreakBefore w:val="0"/>
              <w:widowControl w:val="0"/>
              <w:kinsoku/>
              <w:wordWrap/>
              <w:overflowPunct/>
              <w:topLinePunct w:val="0"/>
              <w:autoSpaceDE/>
              <w:autoSpaceDN/>
              <w:bidi w:val="0"/>
              <w:adjustRightInd/>
              <w:snapToGrid/>
              <w:spacing w:before="26" w:line="360" w:lineRule="exact"/>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Insoluble in water, soluble in concentrated sulfuric acid and hydrochloric acid</w:t>
            </w:r>
          </w:p>
        </w:tc>
      </w:tr>
      <w:tr w14:paraId="2712C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446" w:type="dxa"/>
            <w:vAlign w:val="center"/>
          </w:tcPr>
          <w:p w14:paraId="2E23E2D7">
            <w:pPr>
              <w:pStyle w:val="10"/>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b/>
                <w:bCs/>
                <w:color w:val="auto"/>
                <w:kern w:val="2"/>
                <w:sz w:val="24"/>
                <w:szCs w:val="24"/>
                <w:lang w:val="en-US" w:eastAsia="zh-CN" w:bidi="ar-SA"/>
              </w:rPr>
            </w:pPr>
            <w:bookmarkStart w:id="0" w:name="_GoBack" w:colFirst="0" w:colLast="1"/>
            <w:r>
              <w:rPr>
                <w:rFonts w:hint="eastAsia"/>
                <w:b/>
                <w:bCs/>
                <w:lang w:val="en-US" w:eastAsia="zh-CN"/>
              </w:rPr>
              <w:t>沸点B</w:t>
            </w:r>
            <w:r>
              <w:rPr>
                <w:rFonts w:hint="default"/>
                <w:b/>
                <w:bCs/>
                <w:lang w:val="en-US" w:eastAsia="zh-CN"/>
              </w:rPr>
              <w:t>oiling point</w:t>
            </w:r>
          </w:p>
        </w:tc>
        <w:tc>
          <w:tcPr>
            <w:tcW w:w="4624" w:type="dxa"/>
            <w:vAlign w:val="center"/>
          </w:tcPr>
          <w:p w14:paraId="73A03C99">
            <w:pPr>
              <w:pStyle w:val="10"/>
              <w:keepNext w:val="0"/>
              <w:keepLines w:val="0"/>
              <w:pageBreakBefore w:val="0"/>
              <w:widowControl w:val="0"/>
              <w:tabs>
                <w:tab w:val="center" w:pos="1838"/>
              </w:tabs>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i w:val="0"/>
                <w:iCs w:val="0"/>
                <w:caps w:val="0"/>
                <w:color w:val="auto"/>
                <w:spacing w:val="0"/>
                <w:sz w:val="24"/>
                <w:szCs w:val="24"/>
                <w:shd w:val="clear" w:fill="FFFFFF"/>
                <w:lang w:val="en-US" w:eastAsia="zh-CN"/>
              </w:rPr>
            </w:pPr>
            <w:r>
              <w:rPr>
                <w:rFonts w:hint="eastAsia" w:cs="宋体"/>
                <w:sz w:val="24"/>
                <w:szCs w:val="24"/>
                <w:lang w:val="en-US" w:eastAsia="zh-CN"/>
              </w:rPr>
              <w:t>78.32</w:t>
            </w:r>
            <w:r>
              <w:rPr>
                <w:spacing w:val="-6"/>
              </w:rPr>
              <w:t>℃</w:t>
            </w:r>
          </w:p>
        </w:tc>
      </w:tr>
      <w:tr w14:paraId="3B0E7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3446" w:type="dxa"/>
            <w:vAlign w:val="center"/>
          </w:tcPr>
          <w:p w14:paraId="2C744D1B">
            <w:pPr>
              <w:pStyle w:val="10"/>
              <w:keepNext w:val="0"/>
              <w:keepLines w:val="0"/>
              <w:pageBreakBefore w:val="0"/>
              <w:widowControl w:val="0"/>
              <w:kinsoku/>
              <w:wordWrap/>
              <w:overflowPunct/>
              <w:topLinePunct w:val="0"/>
              <w:autoSpaceDE/>
              <w:autoSpaceDN/>
              <w:bidi w:val="0"/>
              <w:adjustRightInd/>
              <w:snapToGrid/>
              <w:spacing w:before="60" w:line="360" w:lineRule="exact"/>
              <w:jc w:val="left"/>
              <w:textAlignment w:val="auto"/>
              <w:outlineLvl w:val="0"/>
              <w:rPr>
                <w:rFonts w:hint="default" w:ascii="宋体" w:hAnsi="宋体" w:eastAsia="宋体" w:cs="宋体"/>
                <w:b/>
                <w:bCs/>
                <w:color w:val="auto"/>
                <w:sz w:val="24"/>
                <w:szCs w:val="24"/>
                <w:vertAlign w:val="baseline"/>
                <w:lang w:val="en-US" w:eastAsia="zh-CN"/>
              </w:rPr>
            </w:pPr>
            <w:r>
              <w:rPr>
                <w:b/>
                <w:bCs/>
                <w:spacing w:val="-6"/>
              </w:rPr>
              <w:t>熔点</w:t>
            </w:r>
            <w:r>
              <w:rPr>
                <w:rFonts w:hint="eastAsia"/>
                <w:b/>
                <w:bCs/>
                <w:spacing w:val="-6"/>
              </w:rPr>
              <w:t>Melting point</w:t>
            </w:r>
          </w:p>
        </w:tc>
        <w:tc>
          <w:tcPr>
            <w:tcW w:w="4624" w:type="dxa"/>
            <w:vAlign w:val="center"/>
          </w:tcPr>
          <w:p w14:paraId="5CABDE9A">
            <w:pPr>
              <w:pStyle w:val="10"/>
              <w:keepNext w:val="0"/>
              <w:keepLines w:val="0"/>
              <w:pageBreakBefore w:val="0"/>
              <w:widowControl w:val="0"/>
              <w:kinsoku/>
              <w:wordWrap/>
              <w:overflowPunct/>
              <w:topLinePunct w:val="0"/>
              <w:autoSpaceDE/>
              <w:autoSpaceDN/>
              <w:bidi w:val="0"/>
              <w:adjustRightInd/>
              <w:snapToGrid/>
              <w:spacing w:before="60" w:line="360" w:lineRule="exact"/>
              <w:jc w:val="left"/>
              <w:textAlignment w:val="auto"/>
              <w:outlineLvl w:val="0"/>
              <w:rPr>
                <w:rFonts w:hint="default" w:ascii="宋体" w:hAnsi="宋体" w:eastAsia="宋体" w:cs="宋体"/>
                <w:color w:val="auto"/>
                <w:kern w:val="2"/>
                <w:sz w:val="24"/>
                <w:szCs w:val="24"/>
                <w:lang w:val="en-US" w:eastAsia="zh-CN" w:bidi="ar-SA"/>
              </w:rPr>
            </w:pPr>
            <w:r>
              <w:rPr>
                <w:rFonts w:hint="eastAsia"/>
                <w:spacing w:val="-6"/>
                <w:lang w:val="en-US" w:eastAsia="zh-CN"/>
              </w:rPr>
              <w:t>-117.3</w:t>
            </w:r>
            <w:r>
              <w:rPr>
                <w:spacing w:val="-6"/>
              </w:rPr>
              <w:t>℃</w:t>
            </w:r>
          </w:p>
        </w:tc>
      </w:tr>
      <w:bookmarkEnd w:id="0"/>
    </w:tbl>
    <w:p w14:paraId="39B255EA">
      <w:pPr>
        <w:numPr>
          <w:ilvl w:val="0"/>
          <w:numId w:val="0"/>
        </w:numPr>
        <w:ind w:left="239" w:leftChars="114" w:firstLine="0" w:firstLineChars="0"/>
        <w:jc w:val="left"/>
        <w:rPr>
          <w:rFonts w:hint="default" w:ascii="宋体" w:hAnsi="宋体" w:eastAsia="宋体" w:cs="宋体"/>
          <w:color w:val="auto"/>
          <w:sz w:val="24"/>
          <w:szCs w:val="24"/>
          <w:lang w:val="en-US" w:eastAsia="zh-CN"/>
        </w:rPr>
      </w:pPr>
    </w:p>
    <w:p w14:paraId="43E99A7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10.稳定性和反应性</w:t>
      </w:r>
    </w:p>
    <w:p w14:paraId="1D3B23DE">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Stability and reactivity</w:t>
      </w:r>
    </w:p>
    <w:p w14:paraId="45A12589">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color w:val="auto"/>
          <w:sz w:val="30"/>
          <w:szCs w:val="30"/>
          <w:lang w:val="en-US" w:eastAsia="zh-CN"/>
        </w:rPr>
      </w:pPr>
    </w:p>
    <w:p w14:paraId="45834D2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41" w:firstLineChars="100"/>
        <w:jc w:val="left"/>
        <w:textAlignment w:val="auto"/>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b/>
          <w:bCs/>
          <w:i w:val="0"/>
          <w:iCs w:val="0"/>
          <w:caps w:val="0"/>
          <w:color w:val="auto"/>
          <w:spacing w:val="0"/>
          <w:kern w:val="2"/>
          <w:sz w:val="24"/>
          <w:szCs w:val="24"/>
          <w:shd w:val="clear" w:fill="FFFFFF"/>
          <w:lang w:val="en-US" w:eastAsia="en-US" w:bidi="ar-SA"/>
        </w:rPr>
        <w:t>稳定性：</w:t>
      </w:r>
      <w:r>
        <w:rPr>
          <w:rFonts w:hint="eastAsia" w:ascii="宋体" w:hAnsi="宋体" w:eastAsia="宋体" w:cs="宋体"/>
          <w:i w:val="0"/>
          <w:iCs w:val="0"/>
          <w:caps w:val="0"/>
          <w:color w:val="auto"/>
          <w:spacing w:val="0"/>
          <w:sz w:val="24"/>
          <w:szCs w:val="24"/>
          <w:shd w:val="clear" w:fill="FFFFFF"/>
        </w:rPr>
        <w:t>本产品在标准大气状态(室温)下化学性质稳定。</w:t>
      </w:r>
    </w:p>
    <w:p w14:paraId="7E62FF5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b/>
          <w:bCs/>
          <w:i w:val="0"/>
          <w:iCs w:val="0"/>
          <w:caps w:val="0"/>
          <w:color w:val="auto"/>
          <w:spacing w:val="0"/>
          <w:sz w:val="24"/>
          <w:szCs w:val="24"/>
          <w:shd w:val="clear" w:fill="FFFFFF"/>
        </w:rPr>
        <w:t>Stability:</w:t>
      </w:r>
      <w:r>
        <w:rPr>
          <w:rFonts w:hint="eastAsia" w:ascii="宋体" w:hAnsi="宋体" w:eastAsia="宋体" w:cs="宋体"/>
          <w:i w:val="0"/>
          <w:iCs w:val="0"/>
          <w:caps w:val="0"/>
          <w:color w:val="auto"/>
          <w:spacing w:val="0"/>
          <w:sz w:val="24"/>
          <w:szCs w:val="24"/>
          <w:shd w:val="clear" w:fill="FFFFFF"/>
        </w:rPr>
        <w:t xml:space="preserve"> The chemical properties of this product are stable under standard atmospheric conditions (room temperature).</w:t>
      </w:r>
    </w:p>
    <w:p w14:paraId="1C5B0D8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19" w:firstLineChars="10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
          <w:bCs/>
          <w:color w:val="auto"/>
          <w:spacing w:val="-11"/>
          <w:kern w:val="2"/>
          <w:sz w:val="24"/>
          <w:szCs w:val="24"/>
          <w:lang w:val="en-US" w:eastAsia="zh-CN" w:bidi="ar-SA"/>
        </w:rPr>
        <w:t>应避免的物质:</w:t>
      </w:r>
      <w:r>
        <w:rPr>
          <w:rFonts w:ascii="宋体" w:hAnsi="宋体" w:eastAsia="宋体" w:cs="宋体"/>
          <w:color w:val="auto"/>
          <w:sz w:val="24"/>
          <w:szCs w:val="24"/>
        </w:rPr>
        <w:t xml:space="preserve"> </w:t>
      </w:r>
      <w:r>
        <w:rPr>
          <w:rFonts w:hint="eastAsia" w:ascii="宋体" w:hAnsi="宋体" w:eastAsia="宋体" w:cs="宋体"/>
          <w:color w:val="auto"/>
          <w:sz w:val="24"/>
          <w:szCs w:val="24"/>
        </w:rPr>
        <w:t>强氧化剂, 强酸和强碱, 强还原剂, 碱金属</w:t>
      </w:r>
      <w:r>
        <w:rPr>
          <w:rFonts w:hint="eastAsia" w:ascii="宋体" w:hAnsi="宋体" w:eastAsia="宋体" w:cs="宋体"/>
          <w:i w:val="0"/>
          <w:iCs w:val="0"/>
          <w:caps w:val="0"/>
          <w:color w:val="auto"/>
          <w:spacing w:val="0"/>
          <w:sz w:val="24"/>
          <w:szCs w:val="24"/>
          <w:shd w:val="clear" w:fill="FFFFFF"/>
        </w:rPr>
        <w:t>。</w:t>
      </w:r>
    </w:p>
    <w:p w14:paraId="1ADDAB2A">
      <w:pPr>
        <w:numPr>
          <w:ilvl w:val="0"/>
          <w:numId w:val="0"/>
        </w:numPr>
        <w:ind w:leftChars="114"/>
        <w:jc w:val="left"/>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kern w:val="2"/>
          <w:sz w:val="24"/>
          <w:szCs w:val="24"/>
          <w:lang w:val="en-US" w:eastAsia="en-US" w:bidi="ar-SA"/>
        </w:rPr>
        <w:t>Substances to avoid:</w:t>
      </w:r>
      <w:r>
        <w:rPr>
          <w:rFonts w:hint="eastAsia" w:ascii="宋体" w:hAnsi="宋体" w:eastAsia="宋体" w:cs="宋体"/>
          <w:b/>
          <w:bCs/>
          <w:color w:val="auto"/>
          <w:kern w:val="2"/>
          <w:sz w:val="24"/>
          <w:szCs w:val="24"/>
          <w:lang w:val="en-US" w:eastAsia="zh-CN" w:bidi="ar-SA"/>
        </w:rPr>
        <w:t xml:space="preserve"> </w:t>
      </w:r>
      <w:r>
        <w:rPr>
          <w:rFonts w:hint="eastAsia" w:ascii="宋体" w:hAnsi="宋体" w:eastAsia="宋体" w:cs="宋体"/>
          <w:b w:val="0"/>
          <w:bCs w:val="0"/>
          <w:color w:val="auto"/>
          <w:kern w:val="2"/>
          <w:sz w:val="24"/>
          <w:szCs w:val="24"/>
          <w:lang w:val="en-US" w:eastAsia="zh-CN" w:bidi="ar-SA"/>
        </w:rPr>
        <w:t>Strong oxidizing agents, Strong acids and bases, Strong reducing agents, Alkali metals.</w:t>
      </w:r>
    </w:p>
    <w:p w14:paraId="786F730B">
      <w:pPr>
        <w:numPr>
          <w:ilvl w:val="0"/>
          <w:numId w:val="0"/>
        </w:numPr>
        <w:jc w:val="left"/>
        <w:rPr>
          <w:rFonts w:hint="default" w:ascii="宋体" w:hAnsi="宋体" w:eastAsia="宋体" w:cs="宋体"/>
          <w:b/>
          <w:bCs/>
          <w:color w:val="auto"/>
          <w:kern w:val="2"/>
          <w:sz w:val="24"/>
          <w:szCs w:val="24"/>
          <w:lang w:val="en-US" w:eastAsia="zh-CN" w:bidi="ar-SA"/>
        </w:rPr>
      </w:pPr>
    </w:p>
    <w:p w14:paraId="26AE51CC">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11.毒理学资料</w:t>
      </w:r>
    </w:p>
    <w:p w14:paraId="7CA77BBC">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Toxicology Information</w:t>
      </w:r>
    </w:p>
    <w:p w14:paraId="28023166">
      <w:pPr>
        <w:pStyle w:val="10"/>
        <w:spacing w:before="78" w:line="239" w:lineRule="auto"/>
        <w:ind w:left="463"/>
        <w:rPr>
          <w:rFonts w:hint="eastAsia"/>
          <w:color w:val="auto"/>
          <w:spacing w:val="-26"/>
          <w:w w:val="97"/>
          <w:lang w:val="en-US" w:eastAsia="zh-CN"/>
        </w:rPr>
      </w:pPr>
    </w:p>
    <w:p w14:paraId="428A8FEE">
      <w:pPr>
        <w:pStyle w:val="10"/>
        <w:keepNext w:val="0"/>
        <w:keepLines w:val="0"/>
        <w:pageBreakBefore w:val="0"/>
        <w:widowControl w:val="0"/>
        <w:kinsoku/>
        <w:wordWrap/>
        <w:overflowPunct/>
        <w:topLinePunct w:val="0"/>
        <w:autoSpaceDE/>
        <w:autoSpaceDN/>
        <w:bidi w:val="0"/>
        <w:adjustRightInd/>
        <w:snapToGrid/>
        <w:spacing w:before="78" w:line="360" w:lineRule="exact"/>
        <w:ind w:left="479" w:leftChars="228" w:firstLine="0" w:firstLineChars="0"/>
        <w:textAlignment w:val="auto"/>
        <w:rPr>
          <w:rFonts w:hint="eastAsia" w:cs="宋体"/>
          <w:b w:val="0"/>
          <w:bCs w:val="0"/>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rPr>
        <w:t>急性毒性：</w:t>
      </w:r>
      <w:r>
        <w:rPr>
          <w:rFonts w:hint="eastAsia" w:cs="宋体"/>
          <w:b w:val="0"/>
          <w:bCs w:val="0"/>
          <w:i w:val="0"/>
          <w:iCs w:val="0"/>
          <w:caps w:val="0"/>
          <w:color w:val="auto"/>
          <w:spacing w:val="0"/>
          <w:sz w:val="24"/>
          <w:szCs w:val="24"/>
          <w:shd w:val="clear" w:fill="FFFFFF"/>
          <w:lang w:val="en-US" w:eastAsia="zh-CN"/>
        </w:rPr>
        <w:t>LD50 吞食 - 大鼠 - &gt; 20,000 mg/kg</w:t>
      </w:r>
    </w:p>
    <w:p w14:paraId="4F783659">
      <w:pPr>
        <w:pStyle w:val="10"/>
        <w:keepNext w:val="0"/>
        <w:keepLines w:val="0"/>
        <w:pageBreakBefore w:val="0"/>
        <w:widowControl w:val="0"/>
        <w:kinsoku/>
        <w:wordWrap/>
        <w:overflowPunct/>
        <w:topLinePunct w:val="0"/>
        <w:autoSpaceDE/>
        <w:autoSpaceDN/>
        <w:bidi w:val="0"/>
        <w:adjustRightInd/>
        <w:snapToGrid/>
        <w:spacing w:before="78" w:line="360" w:lineRule="exact"/>
        <w:ind w:left="479" w:leftChars="228" w:firstLine="0" w:firstLineChars="0"/>
        <w:textAlignment w:val="auto"/>
        <w:rPr>
          <w:rFonts w:hint="eastAsia" w:cs="宋体"/>
          <w:b w:val="0"/>
          <w:bCs w:val="0"/>
          <w:i w:val="0"/>
          <w:iCs w:val="0"/>
          <w:caps w:val="0"/>
          <w:color w:val="auto"/>
          <w:spacing w:val="0"/>
          <w:sz w:val="24"/>
          <w:szCs w:val="24"/>
          <w:shd w:val="clear" w:fill="FFFFFF"/>
          <w:lang w:val="en-US" w:eastAsia="zh-CN"/>
        </w:rPr>
      </w:pPr>
      <w:r>
        <w:rPr>
          <w:rFonts w:hint="eastAsia" w:cs="宋体"/>
          <w:b w:val="0"/>
          <w:bCs w:val="0"/>
          <w:i w:val="0"/>
          <w:iCs w:val="0"/>
          <w:caps w:val="0"/>
          <w:color w:val="auto"/>
          <w:spacing w:val="0"/>
          <w:sz w:val="24"/>
          <w:szCs w:val="24"/>
          <w:shd w:val="clear" w:fill="FFFFFF"/>
          <w:lang w:val="en-US" w:eastAsia="zh-CN"/>
        </w:rPr>
        <w:t>LC50 吸入 - 大鼠 - 雄性和雌性 - 4 h - &gt; 2.04 mg/l - 粉尘／烟尘</w:t>
      </w:r>
    </w:p>
    <w:p w14:paraId="26ADEBDD">
      <w:pPr>
        <w:pStyle w:val="10"/>
        <w:keepNext w:val="0"/>
        <w:keepLines w:val="0"/>
        <w:pageBreakBefore w:val="0"/>
        <w:widowControl w:val="0"/>
        <w:kinsoku/>
        <w:wordWrap/>
        <w:overflowPunct/>
        <w:topLinePunct w:val="0"/>
        <w:autoSpaceDE/>
        <w:autoSpaceDN/>
        <w:bidi w:val="0"/>
        <w:adjustRightInd/>
        <w:snapToGrid/>
        <w:spacing w:before="78" w:line="360" w:lineRule="exact"/>
        <w:ind w:left="479" w:leftChars="228" w:firstLine="0" w:firstLineChars="0"/>
        <w:textAlignment w:val="auto"/>
        <w:rPr>
          <w:rFonts w:hint="eastAsia" w:cs="宋体"/>
          <w:b w:val="0"/>
          <w:bCs w:val="0"/>
          <w:i w:val="0"/>
          <w:iCs w:val="0"/>
          <w:caps w:val="0"/>
          <w:color w:val="auto"/>
          <w:spacing w:val="0"/>
          <w:sz w:val="24"/>
          <w:szCs w:val="24"/>
          <w:shd w:val="clear" w:fill="FFFFFF"/>
          <w:lang w:val="en-US" w:eastAsia="zh-CN"/>
        </w:rPr>
      </w:pPr>
      <w:r>
        <w:rPr>
          <w:rFonts w:hint="eastAsia" w:cs="宋体"/>
          <w:b/>
          <w:bCs/>
          <w:i w:val="0"/>
          <w:iCs w:val="0"/>
          <w:caps w:val="0"/>
          <w:color w:val="auto"/>
          <w:spacing w:val="0"/>
          <w:sz w:val="24"/>
          <w:szCs w:val="24"/>
          <w:shd w:val="clear" w:fill="FFFFFF"/>
          <w:lang w:val="en-US" w:eastAsia="zh-CN"/>
        </w:rPr>
        <w:t>Acute toxicity:</w:t>
      </w:r>
      <w:r>
        <w:rPr>
          <w:rFonts w:hint="eastAsia" w:cs="宋体"/>
          <w:b w:val="0"/>
          <w:bCs w:val="0"/>
          <w:i w:val="0"/>
          <w:iCs w:val="0"/>
          <w:caps w:val="0"/>
          <w:color w:val="auto"/>
          <w:spacing w:val="0"/>
          <w:sz w:val="24"/>
          <w:szCs w:val="24"/>
          <w:shd w:val="clear" w:fill="FFFFFF"/>
          <w:lang w:val="en-US" w:eastAsia="zh-CN"/>
        </w:rPr>
        <w:t xml:space="preserve"> LD50 ingestion - rat - &gt; 20,000 mg/kg</w:t>
      </w:r>
    </w:p>
    <w:p w14:paraId="1339307E">
      <w:pPr>
        <w:pStyle w:val="10"/>
        <w:keepNext w:val="0"/>
        <w:keepLines w:val="0"/>
        <w:pageBreakBefore w:val="0"/>
        <w:widowControl w:val="0"/>
        <w:kinsoku/>
        <w:wordWrap/>
        <w:overflowPunct/>
        <w:topLinePunct w:val="0"/>
        <w:autoSpaceDE/>
        <w:autoSpaceDN/>
        <w:bidi w:val="0"/>
        <w:adjustRightInd/>
        <w:snapToGrid/>
        <w:spacing w:before="78" w:line="360" w:lineRule="exact"/>
        <w:ind w:left="479" w:leftChars="228" w:firstLine="0" w:firstLineChars="0"/>
        <w:textAlignment w:val="auto"/>
        <w:rPr>
          <w:rFonts w:hint="eastAsia" w:cs="宋体"/>
          <w:b w:val="0"/>
          <w:bCs w:val="0"/>
          <w:i w:val="0"/>
          <w:iCs w:val="0"/>
          <w:caps w:val="0"/>
          <w:color w:val="auto"/>
          <w:spacing w:val="0"/>
          <w:sz w:val="24"/>
          <w:szCs w:val="24"/>
          <w:shd w:val="clear" w:fill="FFFFFF"/>
          <w:lang w:val="en-US" w:eastAsia="zh-CN"/>
        </w:rPr>
      </w:pPr>
      <w:r>
        <w:rPr>
          <w:rFonts w:hint="eastAsia" w:cs="宋体"/>
          <w:b w:val="0"/>
          <w:bCs w:val="0"/>
          <w:i w:val="0"/>
          <w:iCs w:val="0"/>
          <w:caps w:val="0"/>
          <w:color w:val="auto"/>
          <w:spacing w:val="0"/>
          <w:sz w:val="24"/>
          <w:szCs w:val="24"/>
          <w:shd w:val="clear" w:fill="FFFFFF"/>
          <w:lang w:val="en-US" w:eastAsia="zh-CN"/>
        </w:rPr>
        <w:t>LC50 inhalation - rat - male and female - 4 h - &gt; 2.04 mg/l - dust/fume</w:t>
      </w:r>
    </w:p>
    <w:p w14:paraId="140E4B79">
      <w:pPr>
        <w:numPr>
          <w:ilvl w:val="0"/>
          <w:numId w:val="0"/>
        </w:numPr>
        <w:ind w:leftChars="114"/>
        <w:jc w:val="left"/>
        <w:rPr>
          <w:rFonts w:hint="default" w:ascii="宋体" w:hAnsi="宋体" w:eastAsia="宋体" w:cs="宋体"/>
          <w:color w:val="auto"/>
          <w:sz w:val="24"/>
          <w:szCs w:val="24"/>
          <w:lang w:val="en-US" w:eastAsia="zh-CN"/>
        </w:rPr>
      </w:pPr>
    </w:p>
    <w:p w14:paraId="5E45A2B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kern w:val="2"/>
          <w:sz w:val="30"/>
          <w:szCs w:val="30"/>
          <w:lang w:val="en-US" w:eastAsia="zh-CN" w:bidi="ar-SA"/>
        </w:rPr>
        <w:t>12.</w:t>
      </w:r>
      <w:r>
        <w:rPr>
          <w:rFonts w:hint="eastAsia" w:ascii="Times New Roman" w:hAnsi="Times New Roman" w:eastAsia="宋体" w:cs="宋体"/>
          <w:b/>
          <w:color w:val="auto"/>
          <w:sz w:val="30"/>
          <w:szCs w:val="30"/>
          <w:lang w:val="en-US" w:eastAsia="zh-CN"/>
        </w:rPr>
        <w:t>生态学资料</w:t>
      </w:r>
    </w:p>
    <w:p w14:paraId="36EFB5C0">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Ecological information</w:t>
      </w:r>
    </w:p>
    <w:p w14:paraId="78471FB3">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color w:val="auto"/>
          <w:sz w:val="30"/>
          <w:szCs w:val="30"/>
          <w:lang w:val="en-US" w:eastAsia="zh-CN"/>
        </w:rPr>
      </w:pPr>
    </w:p>
    <w:p w14:paraId="552F960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firstLine="221" w:firstLineChars="100"/>
        <w:jc w:val="left"/>
        <w:textAlignment w:val="auto"/>
        <w:rPr>
          <w:rFonts w:hint="eastAsia" w:ascii="宋体" w:hAnsi="宋体" w:eastAsia="宋体" w:cs="宋体"/>
          <w:b w:val="0"/>
          <w:bCs w:val="0"/>
          <w:color w:val="auto"/>
          <w:spacing w:val="-10"/>
          <w:sz w:val="24"/>
          <w:szCs w:val="24"/>
          <w:lang w:val="en-US" w:eastAsia="zh-CN"/>
        </w:rPr>
      </w:pPr>
      <w:r>
        <w:rPr>
          <w:rFonts w:hint="eastAsia" w:ascii="宋体" w:hAnsi="宋体" w:eastAsia="宋体" w:cs="宋体"/>
          <w:b/>
          <w:bCs/>
          <w:color w:val="auto"/>
          <w:spacing w:val="-10"/>
          <w:sz w:val="24"/>
          <w:szCs w:val="24"/>
          <w:lang w:val="en-US" w:eastAsia="zh-CN"/>
        </w:rPr>
        <w:t>无资料</w:t>
      </w:r>
      <w:r>
        <w:rPr>
          <w:rFonts w:hint="eastAsia" w:ascii="宋体" w:hAnsi="宋体" w:eastAsia="宋体" w:cs="宋体"/>
          <w:b w:val="0"/>
          <w:bCs w:val="0"/>
          <w:color w:val="auto"/>
          <w:spacing w:val="-10"/>
          <w:sz w:val="24"/>
          <w:szCs w:val="24"/>
          <w:lang w:val="en-US" w:eastAsia="zh-CN"/>
        </w:rPr>
        <w:t>No data</w:t>
      </w:r>
    </w:p>
    <w:p w14:paraId="0969684D">
      <w:pPr>
        <w:numPr>
          <w:ilvl w:val="0"/>
          <w:numId w:val="0"/>
        </w:numPr>
        <w:ind w:leftChars="114"/>
        <w:jc w:val="left"/>
        <w:rPr>
          <w:rFonts w:hint="eastAsia" w:ascii="宋体" w:hAnsi="宋体" w:eastAsia="宋体" w:cs="宋体"/>
          <w:b/>
          <w:bCs/>
          <w:color w:val="auto"/>
          <w:spacing w:val="-10"/>
          <w:sz w:val="24"/>
          <w:szCs w:val="24"/>
          <w:lang w:val="en-US" w:eastAsia="zh-CN"/>
        </w:rPr>
      </w:pPr>
    </w:p>
    <w:p w14:paraId="08F98E1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13.废弃处置</w:t>
      </w:r>
    </w:p>
    <w:p w14:paraId="5319CAE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Calibri"/>
          <w:b/>
          <w:color w:val="auto"/>
          <w:sz w:val="30"/>
          <w:szCs w:val="30"/>
        </w:rPr>
        <w:t>Waste disposal</w:t>
      </w:r>
    </w:p>
    <w:p w14:paraId="6F18CD07">
      <w:pPr>
        <w:pStyle w:val="10"/>
        <w:spacing w:before="79" w:line="239" w:lineRule="auto"/>
        <w:ind w:left="463"/>
        <w:rPr>
          <w:color w:val="auto"/>
          <w:spacing w:val="-10"/>
        </w:rPr>
      </w:pPr>
    </w:p>
    <w:p w14:paraId="775AC215">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i w:val="0"/>
          <w:iCs w:val="0"/>
          <w:caps w:val="0"/>
          <w:color w:val="auto"/>
          <w:spacing w:val="0"/>
          <w:sz w:val="24"/>
          <w:szCs w:val="24"/>
          <w:shd w:val="clear" w:fill="FFFFFF"/>
        </w:rPr>
      </w:pPr>
      <w:r>
        <w:rPr>
          <w:b/>
          <w:bCs/>
          <w:color w:val="auto"/>
          <w:spacing w:val="-10"/>
        </w:rPr>
        <w:t>废弃处置方法：</w:t>
      </w:r>
      <w:r>
        <w:rPr>
          <w:rFonts w:hint="eastAsia" w:ascii="宋体" w:hAnsi="宋体" w:eastAsia="宋体" w:cs="宋体"/>
          <w:i w:val="0"/>
          <w:iCs w:val="0"/>
          <w:caps w:val="0"/>
          <w:color w:val="auto"/>
          <w:spacing w:val="0"/>
          <w:sz w:val="24"/>
          <w:szCs w:val="24"/>
          <w:shd w:val="clear" w:fill="FFFFFF"/>
        </w:rPr>
        <w:t>化学品必需依废弃物清理法清理。产品必需按照国家法规的规定丢弃或导入设计好的回收系统。 废料的排放必须符合国家及当地法规的规范。废弃化学品请保留于原容器中，勿与其他废弃物混和。依照处理产品的相同标准处理不洁的容器。</w:t>
      </w:r>
    </w:p>
    <w:p w14:paraId="330388B5">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Waste disposal method:</w:t>
      </w:r>
      <w:r>
        <w:rPr>
          <w:rFonts w:hint="eastAsia" w:ascii="宋体" w:hAnsi="宋体" w:eastAsia="宋体" w:cs="宋体"/>
          <w:color w:val="auto"/>
          <w:sz w:val="24"/>
          <w:szCs w:val="24"/>
        </w:rPr>
        <w:t xml:space="preserve"> Chemicals must be disposed of in accordance with waste disposal laws. Products must be discarded or directed to a designed recycling system in accordance with national regulations. Waste discharge must comply with national and local regulations. Keep waste chemicals in their original containers and do not mix with other waste. Dispose of unclean containers in the same manner as products.</w:t>
      </w:r>
    </w:p>
    <w:p w14:paraId="6D854663">
      <w:pPr>
        <w:pStyle w:val="10"/>
        <w:spacing w:before="79" w:line="239" w:lineRule="auto"/>
        <w:ind w:left="463"/>
        <w:rPr>
          <w:rFonts w:hint="eastAsia" w:ascii="宋体" w:hAnsi="宋体" w:eastAsia="宋体" w:cs="宋体"/>
          <w:color w:val="auto"/>
          <w:sz w:val="24"/>
          <w:szCs w:val="24"/>
        </w:rPr>
      </w:pPr>
    </w:p>
    <w:p w14:paraId="51DA19C4">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color w:val="auto"/>
          <w:sz w:val="30"/>
          <w:szCs w:val="30"/>
          <w:lang w:val="en-US" w:eastAsia="zh-CN"/>
        </w:rPr>
      </w:pPr>
      <w:r>
        <w:rPr>
          <w:rFonts w:hint="eastAsia" w:ascii="Times New Roman" w:hAnsi="Times New Roman" w:cs="宋体"/>
          <w:b/>
          <w:color w:val="auto"/>
          <w:sz w:val="30"/>
          <w:szCs w:val="30"/>
          <w:lang w:val="en-US" w:eastAsia="zh-CN"/>
        </w:rPr>
        <w:t>14.运输信息</w:t>
      </w:r>
    </w:p>
    <w:p w14:paraId="2A4605CF">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color w:val="auto"/>
          <w:sz w:val="30"/>
          <w:szCs w:val="30"/>
          <w:lang w:val="en-US" w:eastAsia="zh-CN"/>
        </w:rPr>
      </w:pPr>
      <w:r>
        <w:rPr>
          <w:rFonts w:hint="eastAsia" w:ascii="Times New Roman" w:hAnsi="Times New Roman" w:cs="宋体"/>
          <w:b/>
          <w:color w:val="auto"/>
          <w:sz w:val="30"/>
          <w:szCs w:val="30"/>
          <w:lang w:val="en-US" w:eastAsia="zh-CN"/>
        </w:rPr>
        <w:t>Transport information</w:t>
      </w:r>
    </w:p>
    <w:p w14:paraId="70D65C38">
      <w:pPr>
        <w:pStyle w:val="10"/>
        <w:spacing w:before="79" w:line="239" w:lineRule="auto"/>
        <w:ind w:left="463"/>
        <w:rPr>
          <w:rFonts w:ascii="宋体" w:hAnsi="宋体" w:eastAsia="宋体" w:cs="宋体"/>
          <w:color w:val="auto"/>
          <w:sz w:val="24"/>
          <w:szCs w:val="24"/>
        </w:rPr>
      </w:pPr>
    </w:p>
    <w:p w14:paraId="794A3808">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color w:val="auto"/>
          <w:sz w:val="24"/>
          <w:szCs w:val="24"/>
        </w:rPr>
      </w:pPr>
      <w:r>
        <w:rPr>
          <w:rFonts w:ascii="宋体" w:hAnsi="宋体" w:eastAsia="宋体" w:cs="宋体"/>
          <w:b/>
          <w:bCs/>
          <w:color w:val="auto"/>
          <w:sz w:val="24"/>
          <w:szCs w:val="24"/>
        </w:rPr>
        <w:t>运输品名：</w:t>
      </w:r>
      <w:r>
        <w:rPr>
          <w:rFonts w:hint="eastAsia" w:asciiTheme="minorEastAsia" w:hAnsiTheme="minorEastAsia" w:cstheme="minorEastAsia"/>
          <w:b w:val="0"/>
          <w:bCs/>
          <w:color w:val="auto"/>
          <w:sz w:val="24"/>
          <w:szCs w:val="24"/>
          <w:lang w:val="en-US" w:eastAsia="zh-CN"/>
        </w:rPr>
        <w:t>氧化锡</w:t>
      </w:r>
    </w:p>
    <w:p w14:paraId="4631F813">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color w:val="auto"/>
          <w:sz w:val="24"/>
          <w:szCs w:val="24"/>
        </w:rPr>
      </w:pPr>
      <w:r>
        <w:rPr>
          <w:rFonts w:hint="eastAsia" w:ascii="宋体" w:hAnsi="宋体" w:eastAsia="宋体" w:cs="宋体"/>
          <w:b/>
          <w:bCs/>
          <w:color w:val="auto"/>
          <w:sz w:val="24"/>
          <w:szCs w:val="24"/>
        </w:rPr>
        <w:t>Transport name:</w:t>
      </w:r>
      <w:r>
        <w:rPr>
          <w:rFonts w:hint="eastAsia" w:ascii="宋体" w:hAnsi="宋体" w:eastAsia="宋体" w:cs="宋体"/>
          <w:color w:val="auto"/>
          <w:sz w:val="24"/>
          <w:szCs w:val="24"/>
        </w:rPr>
        <w:t xml:space="preserve"> </w:t>
      </w:r>
      <w:r>
        <w:rPr>
          <w:rFonts w:ascii="宋体" w:hAnsi="宋体" w:eastAsia="宋体" w:cs="宋体"/>
          <w:color w:val="auto"/>
          <w:sz w:val="24"/>
          <w:szCs w:val="24"/>
        </w:rPr>
        <w:t>Stannic </w:t>
      </w:r>
      <w:r>
        <w:rPr>
          <w:rFonts w:hint="eastAsia" w:ascii="宋体" w:hAnsi="宋体" w:eastAsia="宋体" w:cs="宋体"/>
          <w:color w:val="auto"/>
          <w:sz w:val="24"/>
          <w:szCs w:val="24"/>
          <w:lang w:val="en-US" w:eastAsia="zh-CN"/>
        </w:rPr>
        <w:t>O</w:t>
      </w:r>
      <w:r>
        <w:rPr>
          <w:rFonts w:ascii="宋体" w:hAnsi="宋体" w:eastAsia="宋体" w:cs="宋体"/>
          <w:color w:val="auto"/>
          <w:sz w:val="24"/>
          <w:szCs w:val="24"/>
        </w:rPr>
        <w:t>xide</w:t>
      </w:r>
    </w:p>
    <w:p w14:paraId="1436959C">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color w:val="auto"/>
          <w:sz w:val="24"/>
          <w:szCs w:val="24"/>
        </w:rPr>
      </w:pPr>
      <w:r>
        <w:rPr>
          <w:rFonts w:ascii="宋体" w:hAnsi="宋体" w:eastAsia="宋体" w:cs="宋体"/>
          <w:b/>
          <w:bCs/>
          <w:color w:val="auto"/>
          <w:sz w:val="24"/>
          <w:szCs w:val="24"/>
        </w:rPr>
        <w:t>危险品分类：</w:t>
      </w:r>
      <w:r>
        <w:rPr>
          <w:rFonts w:hint="eastAsia" w:cs="宋体"/>
          <w:b w:val="0"/>
          <w:bCs w:val="0"/>
          <w:color w:val="auto"/>
          <w:sz w:val="24"/>
          <w:szCs w:val="24"/>
          <w:lang w:val="en-US" w:eastAsia="zh-CN"/>
        </w:rPr>
        <w:t>普货</w:t>
      </w:r>
      <w:r>
        <w:rPr>
          <w:rFonts w:ascii="宋体" w:hAnsi="宋体" w:eastAsia="宋体" w:cs="宋体"/>
          <w:color w:val="auto"/>
          <w:sz w:val="24"/>
          <w:szCs w:val="24"/>
        </w:rPr>
        <w:t>。</w:t>
      </w:r>
    </w:p>
    <w:p w14:paraId="2B01CBA3">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Dangerous goods classification:</w:t>
      </w:r>
      <w:r>
        <w:rPr>
          <w:rFonts w:hint="eastAsia" w:ascii="宋体" w:hAnsi="宋体" w:eastAsia="宋体" w:cs="宋体"/>
          <w:color w:val="auto"/>
          <w:sz w:val="24"/>
          <w:szCs w:val="24"/>
        </w:rPr>
        <w:t xml:space="preserve"> General goods.</w:t>
      </w:r>
    </w:p>
    <w:p w14:paraId="4619ECE2">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cs="宋体"/>
          <w:color w:val="auto"/>
          <w:sz w:val="24"/>
          <w:szCs w:val="24"/>
          <w:lang w:eastAsia="zh-CN"/>
        </w:rPr>
      </w:pPr>
      <w:r>
        <w:rPr>
          <w:rFonts w:ascii="宋体" w:hAnsi="宋体" w:eastAsia="宋体" w:cs="宋体"/>
          <w:b/>
          <w:bCs/>
          <w:color w:val="auto"/>
          <w:sz w:val="24"/>
          <w:szCs w:val="24"/>
        </w:rPr>
        <w:t>运输注意事项：</w:t>
      </w:r>
      <w:r>
        <w:rPr>
          <w:rFonts w:ascii="宋体" w:hAnsi="宋体" w:eastAsia="宋体" w:cs="宋体"/>
          <w:color w:val="auto"/>
          <w:sz w:val="24"/>
          <w:szCs w:val="24"/>
        </w:rPr>
        <w:t>储存于阴凉、通风仓间内。远离火种、热源。保持容器密封，应与氧化剂、食用化工原料分开存放。搬运时要轻装轻卸，防止包装及容器损坏。分装和搬运作业要注意个人防护</w:t>
      </w:r>
      <w:r>
        <w:rPr>
          <w:rFonts w:hint="eastAsia" w:cs="宋体"/>
          <w:color w:val="auto"/>
          <w:sz w:val="24"/>
          <w:szCs w:val="24"/>
          <w:lang w:eastAsia="zh-CN"/>
        </w:rPr>
        <w:t>。</w:t>
      </w:r>
    </w:p>
    <w:p w14:paraId="75422E95">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cs="宋体"/>
          <w:color w:val="auto"/>
          <w:sz w:val="24"/>
          <w:szCs w:val="24"/>
          <w:lang w:eastAsia="zh-CN"/>
        </w:rPr>
      </w:pPr>
      <w:r>
        <w:rPr>
          <w:rFonts w:hint="eastAsia" w:cs="宋体"/>
          <w:b/>
          <w:bCs/>
          <w:color w:val="auto"/>
          <w:sz w:val="24"/>
          <w:szCs w:val="24"/>
          <w:lang w:eastAsia="zh-CN"/>
        </w:rPr>
        <w:t xml:space="preserve">Transport precautions: </w:t>
      </w:r>
      <w:r>
        <w:rPr>
          <w:rFonts w:hint="eastAsia" w:cs="宋体"/>
          <w:color w:val="auto"/>
          <w:sz w:val="24"/>
          <w:szCs w:val="24"/>
          <w:lang w:eastAsia="zh-CN"/>
        </w:rPr>
        <w:t>Store in a cool, ventilated warehouse. Keep away from fire and heat sources. Keep the container sealed and store it separately from oxidants and edible chemical raw materials. Load and unload gently during transportation to prevent damage to the packaging and container. Pay attention to personal protection during packaging and transportation.</w:t>
      </w:r>
    </w:p>
    <w:p w14:paraId="454A4918">
      <w:pPr>
        <w:pStyle w:val="10"/>
        <w:spacing w:before="79" w:line="239" w:lineRule="auto"/>
        <w:ind w:left="463"/>
        <w:rPr>
          <w:rFonts w:hint="eastAsia" w:cs="宋体"/>
          <w:color w:val="auto"/>
          <w:sz w:val="24"/>
          <w:szCs w:val="24"/>
          <w:lang w:eastAsia="zh-CN"/>
        </w:rPr>
      </w:pPr>
    </w:p>
    <w:p w14:paraId="3EF69E80">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color w:val="auto"/>
          <w:sz w:val="30"/>
          <w:szCs w:val="30"/>
          <w:lang w:val="en-US" w:eastAsia="zh-CN"/>
        </w:rPr>
      </w:pPr>
      <w:r>
        <w:rPr>
          <w:rFonts w:hint="eastAsia" w:ascii="Times New Roman" w:hAnsi="Times New Roman" w:cs="宋体"/>
          <w:b/>
          <w:color w:val="auto"/>
          <w:sz w:val="30"/>
          <w:szCs w:val="30"/>
          <w:lang w:val="en-US" w:eastAsia="zh-CN"/>
        </w:rPr>
        <w:t>15.法规信息</w:t>
      </w:r>
    </w:p>
    <w:p w14:paraId="15152084">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color w:val="auto"/>
          <w:sz w:val="30"/>
          <w:szCs w:val="30"/>
          <w:lang w:val="en-US" w:eastAsia="zh-CN"/>
        </w:rPr>
      </w:pPr>
      <w:r>
        <w:rPr>
          <w:rFonts w:hint="eastAsia" w:ascii="Times New Roman" w:hAnsi="Times New Roman" w:cs="宋体"/>
          <w:b/>
          <w:color w:val="auto"/>
          <w:sz w:val="30"/>
          <w:szCs w:val="30"/>
          <w:lang w:val="en-US" w:eastAsia="zh-CN"/>
        </w:rPr>
        <w:t>Regulatory Information</w:t>
      </w:r>
    </w:p>
    <w:p w14:paraId="142B8CA7">
      <w:pPr>
        <w:pStyle w:val="10"/>
        <w:spacing w:before="79" w:line="239" w:lineRule="auto"/>
        <w:ind w:left="463"/>
        <w:rPr>
          <w:rFonts w:ascii="宋体" w:hAnsi="宋体" w:eastAsia="宋体" w:cs="宋体"/>
          <w:color w:val="auto"/>
          <w:sz w:val="24"/>
          <w:szCs w:val="24"/>
        </w:rPr>
      </w:pPr>
    </w:p>
    <w:p w14:paraId="67412441">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lang w:val="en-US" w:eastAsia="zh-CN"/>
        </w:rPr>
      </w:pPr>
      <w:r>
        <w:rPr>
          <w:rFonts w:hint="eastAsia" w:cs="宋体"/>
          <w:b/>
          <w:bCs/>
          <w:color w:val="auto"/>
          <w:sz w:val="24"/>
          <w:szCs w:val="24"/>
          <w:lang w:val="en-US" w:eastAsia="zh-CN"/>
        </w:rPr>
        <w:t>适用法规</w:t>
      </w:r>
      <w:r>
        <w:rPr>
          <w:rFonts w:ascii="宋体" w:hAnsi="宋体" w:eastAsia="宋体" w:cs="宋体"/>
          <w:b/>
          <w:bCs/>
          <w:color w:val="auto"/>
          <w:sz w:val="24"/>
          <w:szCs w:val="24"/>
        </w:rPr>
        <w:t>：</w:t>
      </w:r>
      <w:r>
        <w:rPr>
          <w:rFonts w:hint="eastAsia" w:ascii="宋体" w:hAnsi="宋体" w:eastAsia="宋体" w:cs="宋体"/>
          <w:color w:val="auto"/>
          <w:sz w:val="24"/>
          <w:szCs w:val="24"/>
        </w:rPr>
        <w:t>中华人民共和国安全生产法</w:t>
      </w:r>
      <w:r>
        <w:rPr>
          <w:rFonts w:hint="eastAsia" w:cs="宋体"/>
          <w:color w:val="auto"/>
          <w:sz w:val="24"/>
          <w:szCs w:val="24"/>
          <w:lang w:val="en-US" w:eastAsia="zh-CN"/>
        </w:rPr>
        <w:t>;</w:t>
      </w:r>
    </w:p>
    <w:p w14:paraId="2584A009">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中华人民共和国职业病防治法</w:t>
      </w:r>
      <w:r>
        <w:rPr>
          <w:rFonts w:hint="eastAsia" w:cs="宋体"/>
          <w:color w:val="auto"/>
          <w:sz w:val="24"/>
          <w:szCs w:val="24"/>
          <w:lang w:val="en-US" w:eastAsia="zh-CN"/>
        </w:rPr>
        <w:t>;</w:t>
      </w:r>
    </w:p>
    <w:p w14:paraId="24505BB9">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中华人民共和国环境保护法</w:t>
      </w:r>
      <w:r>
        <w:rPr>
          <w:rFonts w:hint="eastAsia" w:cs="宋体"/>
          <w:color w:val="auto"/>
          <w:sz w:val="24"/>
          <w:szCs w:val="24"/>
          <w:lang w:val="en-US" w:eastAsia="zh-CN"/>
        </w:rPr>
        <w:t>;</w:t>
      </w:r>
    </w:p>
    <w:p w14:paraId="1F3F0EBF">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危险化学品安全管理条例</w:t>
      </w:r>
      <w:r>
        <w:rPr>
          <w:rFonts w:hint="eastAsia" w:cs="宋体"/>
          <w:color w:val="auto"/>
          <w:sz w:val="24"/>
          <w:szCs w:val="24"/>
          <w:lang w:val="en-US" w:eastAsia="zh-CN"/>
        </w:rPr>
        <w:t>;</w:t>
      </w:r>
    </w:p>
    <w:p w14:paraId="01FAC160">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安全生产许可证条例</w:t>
      </w:r>
      <w:r>
        <w:rPr>
          <w:rFonts w:hint="eastAsia" w:cs="宋体"/>
          <w:color w:val="auto"/>
          <w:sz w:val="24"/>
          <w:szCs w:val="24"/>
          <w:lang w:eastAsia="zh-CN"/>
        </w:rPr>
        <w:t>。</w:t>
      </w:r>
    </w:p>
    <w:p w14:paraId="3F3D6131">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color w:val="auto"/>
          <w:sz w:val="24"/>
          <w:szCs w:val="24"/>
        </w:rPr>
      </w:pPr>
      <w:r>
        <w:rPr>
          <w:rFonts w:hint="eastAsia" w:ascii="宋体" w:hAnsi="宋体" w:eastAsia="宋体" w:cs="宋体"/>
          <w:b/>
          <w:bCs/>
          <w:color w:val="auto"/>
          <w:sz w:val="24"/>
          <w:szCs w:val="24"/>
        </w:rPr>
        <w:t>Applicable regulations:</w:t>
      </w:r>
      <w:r>
        <w:rPr>
          <w:rFonts w:hint="eastAsia" w:ascii="宋体" w:hAnsi="宋体" w:eastAsia="宋体" w:cs="宋体"/>
          <w:b w:val="0"/>
          <w:bCs w:val="0"/>
          <w:color w:val="auto"/>
          <w:sz w:val="24"/>
          <w:szCs w:val="24"/>
        </w:rPr>
        <w:t xml:space="preserve"> Production Safety Law of the People's Republic of China;</w:t>
      </w:r>
    </w:p>
    <w:p w14:paraId="31C13C51">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Occupational Disease Prevention and Control Law of the People's Republic of China;</w:t>
      </w:r>
    </w:p>
    <w:p w14:paraId="3F83AE82">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Environmental Protection Law of the People's Republic of China;</w:t>
      </w:r>
    </w:p>
    <w:p w14:paraId="6913489D">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Regulations on the Safety Management of Hazardous Chemicals;</w:t>
      </w:r>
    </w:p>
    <w:p w14:paraId="76398234">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Regulations on Production Safety Permits.</w:t>
      </w:r>
    </w:p>
    <w:p w14:paraId="3FF2F6F1">
      <w:pPr>
        <w:pStyle w:val="10"/>
        <w:spacing w:before="79" w:line="239" w:lineRule="auto"/>
        <w:rPr>
          <w:rFonts w:hint="eastAsia" w:ascii="宋体" w:hAnsi="宋体" w:eastAsia="宋体" w:cs="宋体"/>
          <w:b w:val="0"/>
          <w:bCs w:val="0"/>
          <w:color w:val="auto"/>
          <w:sz w:val="24"/>
          <w:szCs w:val="24"/>
        </w:rPr>
      </w:pPr>
    </w:p>
    <w:p w14:paraId="669747BE">
      <w:pPr>
        <w:pStyle w:val="10"/>
        <w:keepNext w:val="0"/>
        <w:keepLines w:val="0"/>
        <w:pageBreakBefore w:val="0"/>
        <w:widowControl w:val="0"/>
        <w:numPr>
          <w:ilvl w:val="0"/>
          <w:numId w:val="2"/>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color w:val="auto"/>
          <w:sz w:val="30"/>
          <w:szCs w:val="30"/>
          <w:lang w:val="en-US" w:eastAsia="zh-CN"/>
        </w:rPr>
      </w:pPr>
      <w:r>
        <w:rPr>
          <w:rFonts w:hint="eastAsia" w:ascii="Times New Roman" w:hAnsi="Times New Roman" w:cs="宋体"/>
          <w:b/>
          <w:color w:val="auto"/>
          <w:sz w:val="30"/>
          <w:szCs w:val="30"/>
          <w:lang w:val="en-US" w:eastAsia="zh-CN"/>
        </w:rPr>
        <w:t>其他信息</w:t>
      </w:r>
    </w:p>
    <w:p w14:paraId="320B6BE7">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color w:val="auto"/>
          <w:sz w:val="30"/>
          <w:szCs w:val="30"/>
          <w:lang w:val="en-US" w:eastAsia="zh-CN"/>
        </w:rPr>
      </w:pPr>
      <w:r>
        <w:rPr>
          <w:rFonts w:hint="eastAsia" w:ascii="Times New Roman" w:hAnsi="Times New Roman" w:cs="宋体"/>
          <w:b/>
          <w:color w:val="auto"/>
          <w:sz w:val="30"/>
          <w:szCs w:val="30"/>
          <w:lang w:val="en-US" w:eastAsia="zh-CN"/>
        </w:rPr>
        <w:t>Other information</w:t>
      </w:r>
    </w:p>
    <w:p w14:paraId="7555630F">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color w:val="auto"/>
          <w:sz w:val="30"/>
          <w:szCs w:val="30"/>
          <w:lang w:val="en-US" w:eastAsia="zh-CN"/>
        </w:rPr>
      </w:pPr>
    </w:p>
    <w:p w14:paraId="63D2258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imes New Roman" w:hAnsi="Times New Roman" w:cs="宋体"/>
          <w:b/>
          <w:bCs/>
          <w:color w:val="auto"/>
          <w:sz w:val="24"/>
          <w:szCs w:val="24"/>
          <w:lang w:val="en-US" w:eastAsia="zh-CN"/>
        </w:rPr>
        <w:t>制表单位</w:t>
      </w:r>
      <w:r>
        <w:rPr>
          <w:rFonts w:hint="eastAsia" w:ascii="Times New Roman" w:hAnsi="Times New Roman" w:cs="宋体"/>
          <w:b/>
          <w:bCs/>
          <w:color w:val="auto"/>
          <w:sz w:val="30"/>
          <w:szCs w:val="30"/>
          <w:lang w:val="en-US" w:eastAsia="zh-CN"/>
        </w:rPr>
        <w:t>：</w:t>
      </w:r>
      <w:r>
        <w:rPr>
          <w:rFonts w:hint="eastAsia" w:asciiTheme="minorEastAsia" w:hAnsiTheme="minorEastAsia" w:eastAsiaTheme="minorEastAsia" w:cstheme="minorEastAsia"/>
          <w:color w:val="auto"/>
          <w:sz w:val="24"/>
          <w:szCs w:val="24"/>
        </w:rPr>
        <w:t>达西浓纳米科技（常州）有限公司</w:t>
      </w:r>
    </w:p>
    <w:p w14:paraId="04A4772C">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241" w:firstLineChars="1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Tabulation units:</w:t>
      </w:r>
      <w:r>
        <w:rPr>
          <w:rFonts w:hint="eastAsia" w:asciiTheme="minorEastAsia" w:hAnsiTheme="minorEastAsia" w:eastAsiaTheme="minorEastAsia" w:cstheme="minorEastAsia"/>
          <w:color w:val="auto"/>
          <w:sz w:val="24"/>
          <w:szCs w:val="24"/>
        </w:rPr>
        <w:t xml:space="preserve"> </w:t>
      </w:r>
      <w:r>
        <w:rPr>
          <w:rFonts w:ascii="宋体" w:hAnsi="宋体" w:eastAsia="宋体" w:cs="宋体"/>
          <w:color w:val="auto"/>
          <w:sz w:val="24"/>
          <w:szCs w:val="24"/>
        </w:rPr>
        <w:t>DASHINOU NANO TECHNOLOGY（CHANG ZHOU）CO.，LTD.</w:t>
      </w:r>
    </w:p>
    <w:p w14:paraId="533BB4DD">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lang w:val="en-US" w:eastAsia="zh-CN"/>
        </w:rPr>
        <w:t>联系电话：</w:t>
      </w:r>
      <w:r>
        <w:rPr>
          <w:rFonts w:hint="eastAsia" w:asciiTheme="minorEastAsia" w:hAnsiTheme="minorEastAsia" w:eastAsiaTheme="minorEastAsia" w:cstheme="minorEastAsia"/>
          <w:color w:val="auto"/>
          <w:sz w:val="24"/>
          <w:szCs w:val="24"/>
        </w:rPr>
        <w:t>+86-0519-85558068</w:t>
      </w:r>
    </w:p>
    <w:p w14:paraId="09071AF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b/>
          <w:bCs/>
          <w:color w:val="auto"/>
          <w:sz w:val="24"/>
          <w:szCs w:val="24"/>
          <w:lang w:val="en-US" w:eastAsia="zh-CN"/>
        </w:rPr>
        <w:t>C</w:t>
      </w:r>
      <w:r>
        <w:rPr>
          <w:rFonts w:hint="eastAsia" w:asciiTheme="minorEastAsia" w:hAnsiTheme="minorEastAsia" w:eastAsiaTheme="minorEastAsia" w:cstheme="minorEastAsia"/>
          <w:b/>
          <w:bCs/>
          <w:color w:val="auto"/>
          <w:sz w:val="24"/>
          <w:szCs w:val="24"/>
        </w:rPr>
        <w:t>ontact number</w:t>
      </w:r>
      <w:r>
        <w:rPr>
          <w:rFonts w:hint="eastAsia" w:asciiTheme="minorEastAsia" w:hAnsiTheme="minorEastAsia" w:cstheme="minorEastAsia"/>
          <w:b/>
          <w:bCs/>
          <w:color w:val="auto"/>
          <w:sz w:val="24"/>
          <w:szCs w:val="24"/>
          <w:lang w:eastAsia="zh-CN"/>
        </w:rPr>
        <w:t>：</w:t>
      </w:r>
      <w:r>
        <w:rPr>
          <w:rFonts w:hint="eastAsia" w:asciiTheme="minorEastAsia" w:hAnsiTheme="minorEastAsia" w:eastAsiaTheme="minorEastAsia" w:cstheme="minorEastAsia"/>
          <w:color w:val="auto"/>
          <w:sz w:val="24"/>
          <w:szCs w:val="24"/>
        </w:rPr>
        <w:t>+86-0519-85558068</w:t>
      </w:r>
    </w:p>
    <w:p w14:paraId="4B23370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eastAsia="宋体"/>
          <w:sz w:val="24"/>
          <w:szCs w:val="24"/>
          <w:lang w:val="en-US" w:eastAsia="zh-CN"/>
        </w:rPr>
      </w:pPr>
      <w:r>
        <w:rPr>
          <w:rFonts w:hint="eastAsia" w:asciiTheme="minorEastAsia" w:hAnsiTheme="minorEastAsia" w:cstheme="minorEastAsia"/>
          <w:b/>
          <w:bCs/>
          <w:sz w:val="24"/>
          <w:szCs w:val="24"/>
          <w:lang w:val="en-US" w:eastAsia="zh-CN"/>
        </w:rPr>
        <w:t>修改说明：</w:t>
      </w:r>
      <w:r>
        <w:rPr>
          <w:rFonts w:hint="eastAsia" w:eastAsia="宋体"/>
          <w:sz w:val="24"/>
          <w:szCs w:val="24"/>
          <w:lang w:val="en-US" w:eastAsia="zh-CN"/>
        </w:rPr>
        <w:t>根据我们所掌握的最新信息进行编写，所提供的信息仅为安全操作、使用、加工、储存、运输、处置和排放的参考，不能作为相关保证。表中信息仅用于指定特定的物质，不适用于结合了其他任何物质或经过加工的物质。使用者应根据使用目的，对相关信息的合理性做出判断。</w:t>
      </w:r>
    </w:p>
    <w:p w14:paraId="7C7B4063">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textAlignment w:val="auto"/>
        <w:rPr>
          <w:rFonts w:hint="eastAsia" w:ascii="Times New Roman" w:hAnsi="Times New Roman" w:eastAsia="宋体" w:cs="宋体"/>
          <w:b/>
          <w:sz w:val="30"/>
          <w:szCs w:val="30"/>
          <w:lang w:val="en-US" w:eastAsia="zh-CN"/>
        </w:rPr>
      </w:pPr>
      <w:r>
        <w:rPr>
          <w:rFonts w:hint="eastAsia" w:ascii="宋体" w:hAnsi="宋体" w:eastAsia="宋体" w:cs="宋体"/>
          <w:b/>
          <w:bCs/>
          <w:sz w:val="24"/>
          <w:szCs w:val="24"/>
          <w:vertAlign w:val="baseline"/>
          <w:lang w:val="en-US" w:eastAsia="zh-CN"/>
        </w:rPr>
        <w:t>Modification instructions：</w:t>
      </w:r>
      <w:r>
        <w:rPr>
          <w:rFonts w:hint="eastAsia" w:ascii="宋体" w:hAnsi="宋体" w:eastAsia="宋体" w:cs="宋体"/>
          <w:b w:val="0"/>
          <w:bCs w:val="0"/>
          <w:sz w:val="24"/>
          <w:szCs w:val="24"/>
          <w:vertAlign w:val="baseline"/>
          <w:lang w:val="en-US" w:eastAsia="zh-CN"/>
        </w:rPr>
        <w:t>Prepared based on the latest information available to us, the information provided is only a reference for safe operation, use, processing, storage, transportation, disposal and discharge and cannot be used as a guarantee. The information in the table is intended only to specify the specific substance and does not apply to substances combined with any other substances or processed. Users should make judgments on the rationality of relevant information based on the purpose of use.</w:t>
      </w:r>
    </w:p>
    <w:p w14:paraId="0EB1F4DC">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color w:val="auto"/>
          <w:sz w:val="24"/>
          <w:szCs w:val="24"/>
          <w:lang w:eastAsia="zh-CN"/>
        </w:rPr>
      </w:pPr>
    </w:p>
    <w:p w14:paraId="68F4B979">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eastAsia="宋体" w:cs="宋体"/>
          <w:b/>
          <w:color w:val="auto"/>
          <w:sz w:val="30"/>
          <w:szCs w:val="30"/>
          <w:lang w:val="en-US" w:eastAsia="zh-CN"/>
        </w:rPr>
      </w:pPr>
    </w:p>
    <w:p w14:paraId="350AA9C2">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eastAsia="宋体" w:cs="宋体"/>
          <w:b/>
          <w:color w:val="auto"/>
          <w:sz w:val="30"/>
          <w:szCs w:val="30"/>
          <w:lang w:val="en-US" w:eastAsia="zh-CN"/>
        </w:rPr>
      </w:pPr>
    </w:p>
    <w:p w14:paraId="71EBA352">
      <w:pPr>
        <w:numPr>
          <w:ilvl w:val="0"/>
          <w:numId w:val="0"/>
        </w:numPr>
        <w:jc w:val="left"/>
        <w:rPr>
          <w:rFonts w:hint="default" w:ascii="宋体" w:hAnsi="宋体" w:eastAsia="宋体" w:cs="宋体"/>
          <w:color w:val="auto"/>
          <w:sz w:val="24"/>
          <w:szCs w:val="24"/>
          <w:lang w:val="en-US" w:eastAsia="zh-CN"/>
        </w:rPr>
      </w:pPr>
    </w:p>
    <w:sectPr>
      <w:headerReference r:id="rId3" w:type="default"/>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416A7">
    <w:pPr>
      <w:pStyle w:val="5"/>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6423025"/>
          <wp:effectExtent l="0" t="0" r="2540" b="15875"/>
          <wp:wrapNone/>
          <wp:docPr id="1" name="WordPictureWatermark12681" descr="f13e92a1-8ce2-45e1-bfa9-f26f44e78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2681" descr="f13e92a1-8ce2-45e1-bfa9-f26f44e78159"/>
                  <pic:cNvPicPr>
                    <a:picLocks noChangeAspect="1"/>
                  </pic:cNvPicPr>
                </pic:nvPicPr>
                <pic:blipFill>
                  <a:blip r:embed="rId1">
                    <a:lum bright="70000" contrast="-70000"/>
                  </a:blip>
                  <a:stretch>
                    <a:fillRect/>
                  </a:stretch>
                </pic:blipFill>
                <pic:spPr>
                  <a:xfrm>
                    <a:off x="0" y="0"/>
                    <a:ext cx="5274310" cy="64230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EEE3EC"/>
    <w:multiLevelType w:val="singleLevel"/>
    <w:tmpl w:val="87EEE3EC"/>
    <w:lvl w:ilvl="0" w:tentative="0">
      <w:start w:val="1"/>
      <w:numFmt w:val="decimal"/>
      <w:lvlText w:val="%1."/>
      <w:lvlJc w:val="left"/>
      <w:pPr>
        <w:tabs>
          <w:tab w:val="left" w:pos="312"/>
        </w:tabs>
      </w:pPr>
    </w:lvl>
  </w:abstractNum>
  <w:abstractNum w:abstractNumId="1">
    <w:nsid w:val="888C5242"/>
    <w:multiLevelType w:val="singleLevel"/>
    <w:tmpl w:val="888C5242"/>
    <w:lvl w:ilvl="0" w:tentative="0">
      <w:start w:val="16"/>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3NGRmNmIzNGNlODhkOTk0MTAwM2JkM2RmOTE0YTIifQ=="/>
  </w:docVars>
  <w:rsids>
    <w:rsidRoot w:val="3FA64F02"/>
    <w:rsid w:val="00AF1302"/>
    <w:rsid w:val="01AF5332"/>
    <w:rsid w:val="025B3198"/>
    <w:rsid w:val="03217AD1"/>
    <w:rsid w:val="03F84EDA"/>
    <w:rsid w:val="05453FE3"/>
    <w:rsid w:val="0547212C"/>
    <w:rsid w:val="08AA23AF"/>
    <w:rsid w:val="0902043D"/>
    <w:rsid w:val="09323D82"/>
    <w:rsid w:val="0B7C44D7"/>
    <w:rsid w:val="0BD95485"/>
    <w:rsid w:val="0E8C2C83"/>
    <w:rsid w:val="0EE35C69"/>
    <w:rsid w:val="13225964"/>
    <w:rsid w:val="137C4AC0"/>
    <w:rsid w:val="13E946D3"/>
    <w:rsid w:val="1562473D"/>
    <w:rsid w:val="16414353"/>
    <w:rsid w:val="16557DFE"/>
    <w:rsid w:val="17EE050A"/>
    <w:rsid w:val="18A13E9F"/>
    <w:rsid w:val="1AA72BF2"/>
    <w:rsid w:val="1DA67266"/>
    <w:rsid w:val="1F240CB5"/>
    <w:rsid w:val="20682008"/>
    <w:rsid w:val="20A025BE"/>
    <w:rsid w:val="20A53008"/>
    <w:rsid w:val="20DB76DB"/>
    <w:rsid w:val="22FF6C13"/>
    <w:rsid w:val="285E2CF4"/>
    <w:rsid w:val="28CD3965"/>
    <w:rsid w:val="2953641F"/>
    <w:rsid w:val="299F1664"/>
    <w:rsid w:val="29CB58F0"/>
    <w:rsid w:val="2A0A5864"/>
    <w:rsid w:val="2CC31B0E"/>
    <w:rsid w:val="30D53BBD"/>
    <w:rsid w:val="35847960"/>
    <w:rsid w:val="37E62B54"/>
    <w:rsid w:val="389C4512"/>
    <w:rsid w:val="39C66799"/>
    <w:rsid w:val="3E4E53BC"/>
    <w:rsid w:val="3E8A248B"/>
    <w:rsid w:val="3EAF1EF2"/>
    <w:rsid w:val="3EB95917"/>
    <w:rsid w:val="3F23643C"/>
    <w:rsid w:val="3FA64F02"/>
    <w:rsid w:val="40EB51F7"/>
    <w:rsid w:val="437D25BE"/>
    <w:rsid w:val="43F9776B"/>
    <w:rsid w:val="44024872"/>
    <w:rsid w:val="44931E77"/>
    <w:rsid w:val="466130BB"/>
    <w:rsid w:val="467B1EBE"/>
    <w:rsid w:val="46BC1F75"/>
    <w:rsid w:val="4F7D3946"/>
    <w:rsid w:val="4FCD40E3"/>
    <w:rsid w:val="52642B9B"/>
    <w:rsid w:val="52E53CDC"/>
    <w:rsid w:val="53446C55"/>
    <w:rsid w:val="53A61294"/>
    <w:rsid w:val="53B62265"/>
    <w:rsid w:val="55284354"/>
    <w:rsid w:val="55C05B3D"/>
    <w:rsid w:val="57BE4AFC"/>
    <w:rsid w:val="59747B68"/>
    <w:rsid w:val="5BF572B0"/>
    <w:rsid w:val="5D355860"/>
    <w:rsid w:val="5DB02381"/>
    <w:rsid w:val="61D37ED8"/>
    <w:rsid w:val="62533382"/>
    <w:rsid w:val="63E33011"/>
    <w:rsid w:val="6EF235B1"/>
    <w:rsid w:val="6F0155FA"/>
    <w:rsid w:val="70AB3A18"/>
    <w:rsid w:val="716B0C86"/>
    <w:rsid w:val="75A51148"/>
    <w:rsid w:val="77AB6D12"/>
    <w:rsid w:val="77D601B0"/>
    <w:rsid w:val="787943FB"/>
    <w:rsid w:val="797B6EE2"/>
    <w:rsid w:val="79CA5398"/>
    <w:rsid w:val="79DF1291"/>
    <w:rsid w:val="7A04063C"/>
    <w:rsid w:val="7D8E6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paragraph" w:customStyle="1" w:styleId="10">
    <w:name w:val="Table Text"/>
    <w:basedOn w:val="1"/>
    <w:semiHidden/>
    <w:qFormat/>
    <w:uiPriority w:val="0"/>
    <w:rPr>
      <w:rFonts w:ascii="宋体" w:hAnsi="宋体" w:eastAsia="宋体" w:cs="宋体"/>
      <w:sz w:val="24"/>
      <w:szCs w:val="24"/>
      <w:lang w:val="en-US" w:eastAsia="en-US" w:bidi="ar-SA"/>
    </w:rPr>
  </w:style>
  <w:style w:type="table" w:customStyle="1" w:styleId="1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2268</Words>
  <Characters>6519</Characters>
  <Lines>0</Lines>
  <Paragraphs>0</Paragraphs>
  <TotalTime>0</TotalTime>
  <ScaleCrop>false</ScaleCrop>
  <LinksUpToDate>false</LinksUpToDate>
  <CharactersWithSpaces>12095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2024-08-01T00:37:00Z</dcterms:created>
  <dc:creator>微信用户</dc:creator>
  <cp:lastModifiedBy>Sunny</cp:lastModifiedBy>
  <dcterms:modified xsi:type="dcterms:W3CDTF">2024-09-26T04:51:30Z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70FA6116EA0F497E9C9D4EA739FC42B6_13</vt:lpwstr>
  </property>
</Properties>
</file>