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氧化镧</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44"/>
          <w:lang w:val="en-US" w:eastAsia="zh-CN"/>
        </w:rPr>
      </w:pPr>
      <w:r>
        <w:rPr>
          <w:rFonts w:ascii="宋体" w:hAnsi="宋体" w:eastAsia="宋体" w:cs="宋体"/>
          <w:b/>
          <w:bCs/>
          <w:sz w:val="44"/>
          <w:szCs w:val="44"/>
        </w:rPr>
        <w:t xml:space="preserve">Lanthanum </w:t>
      </w:r>
      <w:r>
        <w:rPr>
          <w:rFonts w:hint="eastAsia" w:ascii="宋体" w:hAnsi="宋体" w:eastAsia="宋体" w:cs="宋体"/>
          <w:b/>
          <w:bCs/>
          <w:sz w:val="44"/>
          <w:szCs w:val="44"/>
          <w:lang w:val="en-US" w:eastAsia="zh-CN"/>
        </w:rPr>
        <w:t>O</w:t>
      </w:r>
      <w:r>
        <w:rPr>
          <w:rFonts w:ascii="宋体" w:hAnsi="宋体" w:eastAsia="宋体" w:cs="宋体"/>
          <w:b/>
          <w:bCs/>
          <w:sz w:val="44"/>
          <w:szCs w:val="44"/>
        </w:rPr>
        <w:t>xide</w:t>
      </w:r>
      <w:r>
        <w:rPr>
          <w:rFonts w:hint="eastAsia" w:ascii="宋体" w:hAnsi="宋体" w:eastAsia="宋体" w:cs="宋体"/>
          <w:b/>
          <w:bCs/>
          <w:sz w:val="44"/>
          <w:szCs w:val="44"/>
          <w:lang w:val="en-US" w:eastAsia="zh-CN"/>
        </w:rPr>
        <w:t xml:space="preserv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B63EBF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氧化镧</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Lanthanum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Lanthanum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6579A96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Lanthanum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1312</w:t>
      </w:r>
      <w:r>
        <w:rPr>
          <w:rFonts w:ascii="宋体" w:hAnsi="宋体" w:eastAsia="宋体" w:cs="宋体"/>
          <w:sz w:val="24"/>
          <w:szCs w:val="24"/>
        </w:rPr>
        <w:t>-</w:t>
      </w:r>
      <w:r>
        <w:rPr>
          <w:rFonts w:hint="eastAsia" w:ascii="宋体" w:hAnsi="宋体" w:eastAsia="宋体" w:cs="宋体"/>
          <w:sz w:val="24"/>
          <w:szCs w:val="24"/>
          <w:lang w:val="en-US" w:eastAsia="zh-CN"/>
        </w:rPr>
        <w:t>81</w:t>
      </w:r>
      <w:r>
        <w:rPr>
          <w:rFonts w:ascii="宋体" w:hAnsi="宋体" w:eastAsia="宋体" w:cs="宋体"/>
          <w:sz w:val="24"/>
          <w:szCs w:val="24"/>
        </w:rPr>
        <w:t>-</w:t>
      </w:r>
      <w:r>
        <w:rPr>
          <w:rFonts w:hint="eastAsia" w:ascii="宋体" w:hAnsi="宋体" w:eastAsia="宋体" w:cs="宋体"/>
          <w:sz w:val="24"/>
          <w:szCs w:val="24"/>
          <w:lang w:val="en-US" w:eastAsia="zh-CN"/>
        </w:rPr>
        <w:t>8</w:t>
      </w:r>
      <w:r>
        <w:rPr>
          <w:rFonts w:ascii="宋体" w:hAnsi="宋体" w:eastAsia="宋体" w:cs="宋体"/>
          <w:sz w:val="24"/>
          <w:szCs w:val="24"/>
        </w:rPr>
        <w:t xml:space="preserve"> </w:t>
      </w:r>
    </w:p>
    <w:p w14:paraId="2D4779C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DXN-LA100/DXN-LA120</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La2O3</w:t>
      </w:r>
    </w:p>
    <w:p w14:paraId="010FF8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La2O3</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325.84</w:t>
      </w:r>
    </w:p>
    <w:p w14:paraId="7ECF4BF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325.84</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85"/>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246D3E51">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1A4B55B8">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85" w:type="dxa"/>
            <w:vAlign w:val="center"/>
          </w:tcPr>
          <w:p w14:paraId="465C978E">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7E4A7D52">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3046" w:type="dxa"/>
            <w:vAlign w:val="center"/>
          </w:tcPr>
          <w:p w14:paraId="1F7D230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氧化镧</w:t>
            </w:r>
          </w:p>
          <w:p w14:paraId="7D6B3B6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ascii="宋体" w:hAnsi="宋体" w:eastAsia="宋体" w:cs="宋体"/>
                <w:sz w:val="24"/>
                <w:szCs w:val="24"/>
              </w:rPr>
              <w:t xml:space="preserve">Lanthanum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numPr>
                <w:ilvl w:val="0"/>
                <w:numId w:val="0"/>
              </w:numPr>
              <w:ind w:left="0" w:leftChars="0" w:firstLine="0" w:firstLineChars="0"/>
              <w:jc w:val="center"/>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99.999%</w:t>
            </w:r>
            <w:bookmarkStart w:id="0" w:name="_GoBack"/>
            <w:bookmarkEnd w:id="0"/>
          </w:p>
        </w:tc>
        <w:tc>
          <w:tcPr>
            <w:tcW w:w="4185" w:type="dxa"/>
            <w:shd w:val="clear" w:color="auto" w:fill="auto"/>
            <w:vAlign w:val="center"/>
          </w:tcPr>
          <w:p w14:paraId="39DBF7B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i w:val="0"/>
                <w:iCs w:val="0"/>
                <w:caps w:val="0"/>
                <w:color w:val="auto"/>
                <w:spacing w:val="0"/>
                <w:sz w:val="24"/>
                <w:szCs w:val="24"/>
                <w:bdr w:val="none" w:color="auto" w:sz="0" w:space="0"/>
                <w:shd w:val="clear" w:fill="FFFFFF"/>
                <w:lang w:val="en-US" w:eastAsia="zh-CN"/>
              </w:rPr>
            </w:pPr>
            <w:r>
              <w:rPr>
                <w:rFonts w:hint="eastAsia" w:ascii="宋体" w:hAnsi="宋体" w:eastAsia="宋体" w:cs="宋体"/>
                <w:i w:val="0"/>
                <w:iCs w:val="0"/>
                <w:caps w:val="0"/>
                <w:color w:val="auto"/>
                <w:spacing w:val="0"/>
                <w:sz w:val="24"/>
                <w:szCs w:val="24"/>
                <w:bdr w:val="none" w:color="auto" w:sz="0" w:space="0"/>
                <w:shd w:val="clear" w:fill="FFFFFF"/>
              </w:rPr>
              <w:t>用于制造精密</w:t>
            </w:r>
            <w:r>
              <w:rPr>
                <w:rFonts w:hint="eastAsia" w:ascii="宋体" w:hAnsi="宋体" w:eastAsia="宋体" w:cs="宋体"/>
                <w:i w:val="0"/>
                <w:iCs w:val="0"/>
                <w:caps w:val="0"/>
                <w:color w:val="auto"/>
                <w:spacing w:val="0"/>
                <w:sz w:val="24"/>
                <w:szCs w:val="24"/>
                <w:u w:val="none"/>
                <w:bdr w:val="none" w:color="auto" w:sz="0" w:space="0"/>
                <w:shd w:val="clear" w:fill="FFFFFF"/>
              </w:rPr>
              <w:fldChar w:fldCharType="begin"/>
            </w:r>
            <w:r>
              <w:rPr>
                <w:rFonts w:hint="eastAsia" w:ascii="宋体" w:hAnsi="宋体" w:eastAsia="宋体" w:cs="宋体"/>
                <w:i w:val="0"/>
                <w:iCs w:val="0"/>
                <w:caps w:val="0"/>
                <w:color w:val="auto"/>
                <w:spacing w:val="0"/>
                <w:sz w:val="24"/>
                <w:szCs w:val="24"/>
                <w:u w:val="none"/>
                <w:bdr w:val="none" w:color="auto" w:sz="0" w:space="0"/>
                <w:shd w:val="clear" w:fill="FFFFFF"/>
              </w:rPr>
              <w:instrText xml:space="preserve"> HYPERLINK "https://baike.baidu.com/item/%E5%85%89%E5%AD%A6%E7%8E%BB%E7%92%83/1254574?fromModule=lemma_inlink" \t "https://baike.baidu.com/item/%E6%B0%A7%E5%8C%96%E9%95%A7/_blank" </w:instrText>
            </w:r>
            <w:r>
              <w:rPr>
                <w:rFonts w:hint="eastAsia" w:ascii="宋体" w:hAnsi="宋体" w:eastAsia="宋体" w:cs="宋体"/>
                <w:i w:val="0"/>
                <w:iCs w:val="0"/>
                <w:caps w:val="0"/>
                <w:color w:val="auto"/>
                <w:spacing w:val="0"/>
                <w:sz w:val="24"/>
                <w:szCs w:val="24"/>
                <w:u w:val="none"/>
                <w:bdr w:val="none" w:color="auto" w:sz="0" w:space="0"/>
                <w:shd w:val="clear" w:fill="FFFFFF"/>
              </w:rPr>
              <w:fldChar w:fldCharType="separate"/>
            </w:r>
            <w:r>
              <w:rPr>
                <w:rStyle w:val="9"/>
                <w:rFonts w:hint="eastAsia" w:ascii="宋体" w:hAnsi="宋体" w:eastAsia="宋体" w:cs="宋体"/>
                <w:i w:val="0"/>
                <w:iCs w:val="0"/>
                <w:caps w:val="0"/>
                <w:color w:val="auto"/>
                <w:spacing w:val="0"/>
                <w:sz w:val="24"/>
                <w:szCs w:val="24"/>
                <w:u w:val="none"/>
                <w:bdr w:val="none" w:color="auto" w:sz="0" w:space="0"/>
                <w:shd w:val="clear" w:fill="FFFFFF"/>
              </w:rPr>
              <w:t>光学玻璃</w:t>
            </w:r>
            <w:r>
              <w:rPr>
                <w:rFonts w:hint="eastAsia" w:ascii="宋体" w:hAnsi="宋体" w:eastAsia="宋体" w:cs="宋体"/>
                <w:i w:val="0"/>
                <w:iCs w:val="0"/>
                <w:caps w:val="0"/>
                <w:color w:val="auto"/>
                <w:spacing w:val="0"/>
                <w:sz w:val="24"/>
                <w:szCs w:val="24"/>
                <w:u w:val="none"/>
                <w:bdr w:val="none" w:color="auto" w:sz="0" w:space="0"/>
                <w:shd w:val="clear" w:fill="FFFFFF"/>
              </w:rPr>
              <w:fldChar w:fldCharType="end"/>
            </w:r>
            <w:r>
              <w:rPr>
                <w:rFonts w:hint="eastAsia" w:ascii="宋体" w:hAnsi="宋体" w:eastAsia="宋体" w:cs="宋体"/>
                <w:i w:val="0"/>
                <w:iCs w:val="0"/>
                <w:caps w:val="0"/>
                <w:color w:val="auto"/>
                <w:spacing w:val="0"/>
                <w:sz w:val="24"/>
                <w:szCs w:val="24"/>
                <w:bdr w:val="none" w:color="auto" w:sz="0" w:space="0"/>
                <w:shd w:val="clear" w:fill="FFFFFF"/>
              </w:rPr>
              <w:t>、</w:t>
            </w:r>
            <w:r>
              <w:rPr>
                <w:rFonts w:hint="eastAsia" w:ascii="宋体" w:hAnsi="宋体" w:eastAsia="宋体" w:cs="宋体"/>
                <w:i w:val="0"/>
                <w:iCs w:val="0"/>
                <w:caps w:val="0"/>
                <w:color w:val="auto"/>
                <w:spacing w:val="0"/>
                <w:sz w:val="24"/>
                <w:szCs w:val="24"/>
                <w:u w:val="none"/>
                <w:bdr w:val="none" w:color="auto" w:sz="0" w:space="0"/>
                <w:shd w:val="clear" w:fill="FFFFFF"/>
              </w:rPr>
              <w:fldChar w:fldCharType="begin"/>
            </w:r>
            <w:r>
              <w:rPr>
                <w:rFonts w:hint="eastAsia" w:ascii="宋体" w:hAnsi="宋体" w:eastAsia="宋体" w:cs="宋体"/>
                <w:i w:val="0"/>
                <w:iCs w:val="0"/>
                <w:caps w:val="0"/>
                <w:color w:val="auto"/>
                <w:spacing w:val="0"/>
                <w:sz w:val="24"/>
                <w:szCs w:val="24"/>
                <w:u w:val="none"/>
                <w:bdr w:val="none" w:color="auto" w:sz="0" w:space="0"/>
                <w:shd w:val="clear" w:fill="FFFFFF"/>
              </w:rPr>
              <w:instrText xml:space="preserve"> HYPERLINK "https://baike.baidu.com/item/%E5%85%89%E5%AF%BC%E7%BA%A4%E7%BB%B4/685708?fromModule=lemma_inlink" \t "https://baike.baidu.com/item/%E6%B0%A7%E5%8C%96%E9%95%A7/_blank" </w:instrText>
            </w:r>
            <w:r>
              <w:rPr>
                <w:rFonts w:hint="eastAsia" w:ascii="宋体" w:hAnsi="宋体" w:eastAsia="宋体" w:cs="宋体"/>
                <w:i w:val="0"/>
                <w:iCs w:val="0"/>
                <w:caps w:val="0"/>
                <w:color w:val="auto"/>
                <w:spacing w:val="0"/>
                <w:sz w:val="24"/>
                <w:szCs w:val="24"/>
                <w:u w:val="none"/>
                <w:bdr w:val="none" w:color="auto" w:sz="0" w:space="0"/>
                <w:shd w:val="clear" w:fill="FFFFFF"/>
              </w:rPr>
              <w:fldChar w:fldCharType="separate"/>
            </w:r>
            <w:r>
              <w:rPr>
                <w:rStyle w:val="9"/>
                <w:rFonts w:hint="eastAsia" w:ascii="宋体" w:hAnsi="宋体" w:eastAsia="宋体" w:cs="宋体"/>
                <w:i w:val="0"/>
                <w:iCs w:val="0"/>
                <w:caps w:val="0"/>
                <w:color w:val="auto"/>
                <w:spacing w:val="0"/>
                <w:sz w:val="24"/>
                <w:szCs w:val="24"/>
                <w:u w:val="none"/>
                <w:bdr w:val="none" w:color="auto" w:sz="0" w:space="0"/>
                <w:shd w:val="clear" w:fill="FFFFFF"/>
              </w:rPr>
              <w:t>光导纤维</w:t>
            </w:r>
            <w:r>
              <w:rPr>
                <w:rFonts w:hint="eastAsia" w:ascii="宋体" w:hAnsi="宋体" w:eastAsia="宋体" w:cs="宋体"/>
                <w:i w:val="0"/>
                <w:iCs w:val="0"/>
                <w:caps w:val="0"/>
                <w:color w:val="auto"/>
                <w:spacing w:val="0"/>
                <w:sz w:val="24"/>
                <w:szCs w:val="24"/>
                <w:u w:val="none"/>
                <w:bdr w:val="none" w:color="auto" w:sz="0" w:space="0"/>
                <w:shd w:val="clear" w:fill="FFFFFF"/>
              </w:rPr>
              <w:fldChar w:fldCharType="end"/>
            </w:r>
            <w:r>
              <w:rPr>
                <w:rFonts w:hint="eastAsia" w:ascii="宋体" w:hAnsi="宋体" w:eastAsia="宋体" w:cs="宋体"/>
                <w:i w:val="0"/>
                <w:iCs w:val="0"/>
                <w:caps w:val="0"/>
                <w:color w:val="auto"/>
                <w:spacing w:val="0"/>
                <w:sz w:val="24"/>
                <w:szCs w:val="24"/>
                <w:bdr w:val="none" w:color="auto" w:sz="0" w:space="0"/>
                <w:shd w:val="clear" w:fill="FFFFFF"/>
              </w:rPr>
              <w:t>。也用于电子工业作陶瓷电容器，</w:t>
            </w:r>
            <w:r>
              <w:rPr>
                <w:rFonts w:hint="eastAsia" w:ascii="宋体" w:hAnsi="宋体" w:eastAsia="宋体" w:cs="宋体"/>
                <w:i w:val="0"/>
                <w:iCs w:val="0"/>
                <w:caps w:val="0"/>
                <w:color w:val="auto"/>
                <w:spacing w:val="0"/>
                <w:sz w:val="24"/>
                <w:szCs w:val="24"/>
                <w:u w:val="none"/>
                <w:bdr w:val="none" w:color="auto" w:sz="0" w:space="0"/>
                <w:shd w:val="clear" w:fill="FFFFFF"/>
              </w:rPr>
              <w:fldChar w:fldCharType="begin"/>
            </w:r>
            <w:r>
              <w:rPr>
                <w:rFonts w:hint="eastAsia" w:ascii="宋体" w:hAnsi="宋体" w:eastAsia="宋体" w:cs="宋体"/>
                <w:i w:val="0"/>
                <w:iCs w:val="0"/>
                <w:caps w:val="0"/>
                <w:color w:val="auto"/>
                <w:spacing w:val="0"/>
                <w:sz w:val="24"/>
                <w:szCs w:val="24"/>
                <w:u w:val="none"/>
                <w:bdr w:val="none" w:color="auto" w:sz="0" w:space="0"/>
                <w:shd w:val="clear" w:fill="FFFFFF"/>
              </w:rPr>
              <w:instrText xml:space="preserve"> HYPERLINK "https://baike.baidu.com/item/%E5%8E%8B%E7%94%B5%E9%99%B6%E7%93%B7/4787841?fromModule=lemma_inlink" \t "https://baike.baidu.com/item/%E6%B0%A7%E5%8C%96%E9%95%A7/_blank" </w:instrText>
            </w:r>
            <w:r>
              <w:rPr>
                <w:rFonts w:hint="eastAsia" w:ascii="宋体" w:hAnsi="宋体" w:eastAsia="宋体" w:cs="宋体"/>
                <w:i w:val="0"/>
                <w:iCs w:val="0"/>
                <w:caps w:val="0"/>
                <w:color w:val="auto"/>
                <w:spacing w:val="0"/>
                <w:sz w:val="24"/>
                <w:szCs w:val="24"/>
                <w:u w:val="none"/>
                <w:bdr w:val="none" w:color="auto" w:sz="0" w:space="0"/>
                <w:shd w:val="clear" w:fill="FFFFFF"/>
              </w:rPr>
              <w:fldChar w:fldCharType="separate"/>
            </w:r>
            <w:r>
              <w:rPr>
                <w:rStyle w:val="9"/>
                <w:rFonts w:hint="eastAsia" w:ascii="宋体" w:hAnsi="宋体" w:eastAsia="宋体" w:cs="宋体"/>
                <w:i w:val="0"/>
                <w:iCs w:val="0"/>
                <w:caps w:val="0"/>
                <w:color w:val="auto"/>
                <w:spacing w:val="0"/>
                <w:sz w:val="24"/>
                <w:szCs w:val="24"/>
                <w:u w:val="none"/>
                <w:bdr w:val="none" w:color="auto" w:sz="0" w:space="0"/>
                <w:shd w:val="clear" w:fill="FFFFFF"/>
              </w:rPr>
              <w:t>压电陶瓷</w:t>
            </w:r>
            <w:r>
              <w:rPr>
                <w:rFonts w:hint="eastAsia" w:ascii="宋体" w:hAnsi="宋体" w:eastAsia="宋体" w:cs="宋体"/>
                <w:i w:val="0"/>
                <w:iCs w:val="0"/>
                <w:caps w:val="0"/>
                <w:color w:val="auto"/>
                <w:spacing w:val="0"/>
                <w:sz w:val="24"/>
                <w:szCs w:val="24"/>
                <w:u w:val="none"/>
                <w:bdr w:val="none" w:color="auto" w:sz="0" w:space="0"/>
                <w:shd w:val="clear" w:fill="FFFFFF"/>
              </w:rPr>
              <w:fldChar w:fldCharType="end"/>
            </w:r>
            <w:r>
              <w:rPr>
                <w:rFonts w:hint="eastAsia" w:ascii="宋体" w:hAnsi="宋体" w:eastAsia="宋体" w:cs="宋体"/>
                <w:i w:val="0"/>
                <w:iCs w:val="0"/>
                <w:caps w:val="0"/>
                <w:color w:val="auto"/>
                <w:spacing w:val="0"/>
                <w:sz w:val="24"/>
                <w:szCs w:val="24"/>
                <w:bdr w:val="none" w:color="auto" w:sz="0" w:space="0"/>
                <w:shd w:val="clear" w:fill="FFFFFF"/>
              </w:rPr>
              <w:t>掺入剂</w:t>
            </w:r>
            <w:r>
              <w:rPr>
                <w:rFonts w:hint="eastAsia" w:ascii="宋体" w:hAnsi="宋体" w:eastAsia="宋体" w:cs="宋体"/>
                <w:i w:val="0"/>
                <w:iCs w:val="0"/>
                <w:caps w:val="0"/>
                <w:color w:val="auto"/>
                <w:spacing w:val="0"/>
                <w:sz w:val="24"/>
                <w:szCs w:val="24"/>
                <w:bdr w:val="none" w:color="auto" w:sz="0" w:space="0"/>
                <w:shd w:val="clear" w:fill="FFFFFF"/>
                <w:lang w:val="en-US" w:eastAsia="zh-CN"/>
              </w:rPr>
              <w:t>等</w:t>
            </w:r>
          </w:p>
          <w:p w14:paraId="78975CD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i w:val="0"/>
                <w:iCs w:val="0"/>
                <w:caps w:val="0"/>
                <w:color w:val="auto"/>
                <w:spacing w:val="0"/>
                <w:sz w:val="24"/>
                <w:szCs w:val="24"/>
                <w:bdr w:val="none" w:color="auto" w:sz="0" w:space="0"/>
                <w:shd w:val="clear" w:fill="FFFFFF"/>
                <w:lang w:val="en-US" w:eastAsia="zh-CN"/>
              </w:rPr>
            </w:pPr>
            <w:r>
              <w:rPr>
                <w:rFonts w:hint="eastAsia" w:ascii="宋体" w:hAnsi="宋体" w:eastAsia="宋体" w:cs="宋体"/>
                <w:i w:val="0"/>
                <w:iCs w:val="0"/>
                <w:caps w:val="0"/>
                <w:color w:val="auto"/>
                <w:spacing w:val="0"/>
                <w:sz w:val="24"/>
                <w:szCs w:val="24"/>
                <w:bdr w:val="none" w:color="auto" w:sz="0" w:space="0"/>
                <w:shd w:val="clear" w:fill="FFFFFF"/>
                <w:lang w:val="en-US" w:eastAsia="zh-CN"/>
              </w:rPr>
              <w:t>Used to manufacture precision optical glass and optical fibers. Also used in the electronics industry to make ceramic capacitors, piezoelectric ceramic doping agents, etc.</w:t>
            </w:r>
          </w:p>
        </w:tc>
      </w:tr>
    </w:tbl>
    <w:p w14:paraId="698F50B7">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脱去污染的衣着，用肥皂水和清水彻底冲洗皮肤。如有不适感，就医。</w:t>
      </w:r>
    </w:p>
    <w:p w14:paraId="2D2B97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rinse skin thoroughly with soap and water. Seek medical attention if you feel unwell.</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ascii="宋体" w:hAnsi="宋体" w:eastAsia="宋体" w:cs="宋体"/>
          <w:sz w:val="24"/>
          <w:szCs w:val="24"/>
        </w:rPr>
        <w:t>分开眼睑，用流动清水或生理盐水冲洗。立即就医。</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Open the eyelids and rinse with running water or saline. Seek medical attention immediately.</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如果吸入，请将患者移到新鲜空气处。</w:t>
      </w:r>
    </w:p>
    <w:p w14:paraId="3C94E2B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If inhaled, move victim to fresh air.</w:t>
      </w:r>
    </w:p>
    <w:p w14:paraId="09D74FB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ascii="宋体" w:hAnsi="宋体" w:eastAsia="宋体" w:cs="宋体"/>
          <w:sz w:val="24"/>
          <w:szCs w:val="24"/>
        </w:rPr>
        <w:t>: 请清洗口腔。不要引发呕吐。</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Rinse mouth. Do not induce vomiting.</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r>
        <w:rPr>
          <w:rFonts w:ascii="宋体" w:hAnsi="宋体" w:eastAsia="宋体" w:cs="宋体"/>
          <w:sz w:val="24"/>
          <w:szCs w:val="24"/>
        </w:rPr>
        <w:t>避免使用直流水灭火，直流水可能导致可燃性液体的飞溅，使火势扩散。</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fire.Avoid using direct water to extinguish fire, as direct water may cause flammable liquids to splash and spread the fire.</w:t>
      </w:r>
    </w:p>
    <w:p w14:paraId="220112D2">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cs="宋体"/>
          <w:b/>
          <w:bCs/>
          <w:sz w:val="24"/>
          <w:szCs w:val="24"/>
          <w:lang w:val="en-US" w:eastAsia="zh-CN"/>
        </w:rPr>
        <w:t>特殊情况:</w:t>
      </w:r>
      <w:r>
        <w:rPr>
          <w:rFonts w:ascii="宋体" w:hAnsi="宋体" w:eastAsia="宋体" w:cs="宋体"/>
          <w:sz w:val="24"/>
          <w:szCs w:val="24"/>
        </w:rPr>
        <w:t>在加热期间或失火的情况下,产生有毒气体</w:t>
      </w:r>
      <w:r>
        <w:rPr>
          <w:rFonts w:hint="eastAsia" w:cs="宋体"/>
          <w:sz w:val="24"/>
          <w:szCs w:val="24"/>
          <w:lang w:eastAsia="zh-CN"/>
        </w:rPr>
        <w:t>。</w:t>
      </w:r>
    </w:p>
    <w:p w14:paraId="49CC55BE">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cs="宋体"/>
          <w:b/>
          <w:bCs/>
          <w:sz w:val="24"/>
          <w:szCs w:val="24"/>
          <w:lang w:eastAsia="zh-CN"/>
        </w:rPr>
        <w:t>Special cases:</w:t>
      </w:r>
      <w:r>
        <w:rPr>
          <w:rFonts w:hint="eastAsia" w:cs="宋体"/>
          <w:sz w:val="24"/>
          <w:szCs w:val="24"/>
          <w:lang w:eastAsia="zh-CN"/>
        </w:rPr>
        <w:t xml:space="preserve"> During heating or in case of fire, toxic gases are generated.</w:t>
      </w:r>
    </w:p>
    <w:p w14:paraId="36188DF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val="en-US"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ascii="宋体" w:hAnsi="宋体" w:eastAsia="宋体" w:cs="宋体"/>
          <w:sz w:val="24"/>
          <w:szCs w:val="24"/>
        </w:rPr>
        <w:t>建议应急处理人员戴携气式呼吸器</w:t>
      </w:r>
      <w:r>
        <w:rPr>
          <w:rFonts w:hint="eastAsia" w:cs="宋体"/>
          <w:sz w:val="24"/>
          <w:szCs w:val="24"/>
          <w:lang w:eastAsia="zh-CN"/>
        </w:rPr>
        <w:t>，</w:t>
      </w:r>
      <w:r>
        <w:rPr>
          <w:rFonts w:ascii="宋体" w:hAnsi="宋体" w:eastAsia="宋体" w:cs="宋体"/>
          <w:sz w:val="24"/>
          <w:szCs w:val="24"/>
        </w:rPr>
        <w:t>穿防静电服，戴橡胶耐油手套。禁止接触或跨越泄漏物。作业时使用的所有设备应接地。尽可能切断泄漏源。消除所有点火源。根据液体流动、蒸汽或粉尘扩散的影响区域划定警戒区，无关人员从侧风、上风向撤离至安全区。</w:t>
      </w:r>
    </w:p>
    <w:p w14:paraId="23E3097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It is recommended that emergency response personnel wear air-carrying respirators, anti-static clothing, and rubber oil-resistant gloves. It is prohibited to touch or cross the leaked material. All equipment used during operation should be grounded. Cut off the source of leakage as much as possible. Eliminate all ignition sources. Delineate warning areas according to the affected areas of liquid flow, steam or dust diffusion, and evacuate irrelevant personnel from the sidewind and upwind directions to safe areas.</w:t>
      </w:r>
    </w:p>
    <w:p w14:paraId="72DEBCE3">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ascii="宋体" w:hAnsi="宋体" w:eastAsia="宋体" w:cs="宋体"/>
          <w:sz w:val="24"/>
          <w:szCs w:val="24"/>
        </w:rPr>
        <w:t>用大量的水进行稀释</w:t>
      </w:r>
      <w:r>
        <w:rPr>
          <w:rFonts w:hint="eastAsia" w:cs="宋体"/>
          <w:sz w:val="24"/>
          <w:szCs w:val="24"/>
          <w:lang w:eastAsia="zh-CN"/>
        </w:rPr>
        <w:t>。</w:t>
      </w:r>
      <w:r>
        <w:rPr>
          <w:rFonts w:ascii="宋体" w:hAnsi="宋体" w:eastAsia="宋体" w:cs="宋体"/>
          <w:sz w:val="24"/>
          <w:szCs w:val="24"/>
        </w:rPr>
        <w:t>切勿让其进入下水道/水面或地下水</w:t>
      </w:r>
      <w:r>
        <w:rPr>
          <w:rFonts w:hint="eastAsia" w:cs="宋体"/>
          <w:sz w:val="24"/>
          <w:szCs w:val="24"/>
          <w:lang w:eastAsia="zh-CN"/>
        </w:rPr>
        <w:t>。</w:t>
      </w:r>
    </w:p>
    <w:p w14:paraId="7E20F4A6">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Dilute with plenty of water. Do not allow to enter drains/surface or ground water.</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sz w:val="24"/>
          <w:szCs w:val="24"/>
        </w:rPr>
        <w:t>扫掉和铲掉。 存放在合适的封闭的处理容器内。</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Sweep up and shovel. Store in suitable closed disposal containers.</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auto"/>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Precautions for safe handling:</w:t>
      </w:r>
      <w:r>
        <w:rPr>
          <w:rFonts w:hint="eastAsia" w:ascii="宋体" w:hAnsi="宋体" w:eastAsia="宋体" w:cs="宋体"/>
          <w:i w:val="0"/>
          <w:iCs w:val="0"/>
          <w:caps w:val="0"/>
          <w:color w:val="auto"/>
          <w:spacing w:val="0"/>
          <w:sz w:val="24"/>
          <w:szCs w:val="24"/>
          <w:shd w:val="clear" w:fill="FFFFFF"/>
          <w:lang w:val="en-US" w:eastAsia="zh-CN"/>
        </w:rPr>
        <w:t xml:space="preserve"> Provide suitable exhaust equipment where dust is generated.</w:t>
      </w:r>
    </w:p>
    <w:p w14:paraId="4984B33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default" w:ascii="宋体" w:hAnsi="宋体" w:eastAsia="宋体" w:cs="宋体"/>
          <w:b/>
          <w:bCs/>
          <w:color w:val="auto"/>
          <w:sz w:val="24"/>
          <w:szCs w:val="24"/>
        </w:rPr>
        <w:t>安全储存的条件,包括任何不兼容性</w:t>
      </w:r>
      <w:r>
        <w:rPr>
          <w:rFonts w:hint="eastAsia" w:ascii="宋体" w:hAnsi="宋体" w:eastAsia="宋体" w:cs="宋体"/>
          <w:b/>
          <w:bCs/>
          <w:color w:val="auto"/>
          <w:sz w:val="24"/>
          <w:szCs w:val="24"/>
          <w:lang w:val="en-US" w:eastAsia="zh-CN"/>
        </w:rPr>
        <w:t>:</w:t>
      </w:r>
      <w:r>
        <w:rPr>
          <w:rFonts w:hint="default" w:ascii="宋体" w:hAnsi="宋体" w:eastAsia="宋体" w:cs="宋体"/>
          <w:color w:val="auto"/>
          <w:sz w:val="24"/>
          <w:szCs w:val="24"/>
        </w:rPr>
        <w:t>贮存在阴凉处</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容器保持紧闭，储存在干燥通风处。</w:t>
      </w:r>
      <w:r>
        <w:rPr>
          <w:rFonts w:ascii="宋体" w:hAnsi="宋体" w:eastAsia="宋体" w:cs="宋体"/>
          <w:color w:val="auto"/>
          <w:sz w:val="24"/>
          <w:szCs w:val="24"/>
        </w:rPr>
        <w:t>防止气溶胶的形成</w:t>
      </w:r>
      <w:r>
        <w:rPr>
          <w:rFonts w:hint="eastAsia" w:ascii="宋体" w:hAnsi="宋体" w:eastAsia="宋体" w:cs="宋体"/>
          <w:color w:val="auto"/>
          <w:sz w:val="24"/>
          <w:szCs w:val="24"/>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Conditions for safe storage, including any incompatibilities:</w:t>
      </w:r>
      <w:r>
        <w:rPr>
          <w:rFonts w:hint="default" w:ascii="宋体" w:hAnsi="宋体" w:eastAsia="宋体" w:cs="宋体"/>
          <w:color w:val="auto"/>
          <w:sz w:val="24"/>
          <w:szCs w:val="24"/>
          <w:lang w:val="en-US" w:eastAsia="zh-CN"/>
        </w:rPr>
        <w:t xml:space="preserve"> Store in a cool place. Keep the container tightly closed in a dry and ventilated place.Prevent the formation of aerosols.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493231D4">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控制参数</w:t>
      </w:r>
      <w:r>
        <w:rPr>
          <w:rFonts w:hint="eastAsia" w:ascii="宋体" w:hAnsi="宋体" w:eastAsia="宋体" w:cs="宋体"/>
          <w:b/>
          <w:bCs/>
          <w:color w:val="auto"/>
          <w:sz w:val="24"/>
          <w:szCs w:val="24"/>
          <w:lang w:val="en-US" w:eastAsia="zh-CN"/>
        </w:rPr>
        <w:t>:</w:t>
      </w:r>
      <w:r>
        <w:rPr>
          <w:rFonts w:hint="eastAsia" w:ascii="宋体" w:hAnsi="宋体" w:eastAsia="宋体" w:cs="宋体"/>
          <w:color w:val="auto"/>
          <w:sz w:val="24"/>
          <w:szCs w:val="24"/>
        </w:rPr>
        <w:t>最高容许浓度没有已知的国家规定的暴露极限。</w:t>
      </w:r>
    </w:p>
    <w:p w14:paraId="55BA06DE">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Control parameters:</w:t>
      </w:r>
      <w:r>
        <w:rPr>
          <w:rFonts w:hint="eastAsia" w:ascii="宋体" w:hAnsi="宋体" w:eastAsia="宋体" w:cs="宋体"/>
          <w:color w:val="auto"/>
          <w:sz w:val="24"/>
          <w:szCs w:val="24"/>
        </w:rPr>
        <w:t xml:space="preserve"> Maximum permitted concentration There are no known national exposure limits.</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工程控制：</w:t>
      </w:r>
      <w:r>
        <w:rPr>
          <w:rFonts w:hint="eastAsia" w:ascii="宋体" w:hAnsi="宋体" w:eastAsia="宋体" w:cs="宋体"/>
          <w:color w:val="auto"/>
          <w:sz w:val="24"/>
          <w:szCs w:val="24"/>
        </w:rPr>
        <w:t>常规的工业卫生操作。</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General industrial hygiene practices.</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7"/>
        <w:tblW w:w="9344"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898"/>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5898"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23"/>
                <w:lang w:val="en-US" w:eastAsia="zh-CN"/>
              </w:rPr>
              <w:t>白色</w:t>
            </w:r>
            <w:r>
              <w:rPr>
                <w:rFonts w:hint="eastAsia"/>
                <w:color w:val="auto"/>
                <w:spacing w:val="-23"/>
              </w:rPr>
              <w:t>White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5898"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5"/>
              </w:rPr>
              <w:t>粉末</w:t>
            </w:r>
            <w:r>
              <w:rPr>
                <w:rFonts w:hint="eastAsia"/>
                <w:color w:val="auto"/>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5898"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6"/>
              </w:rPr>
              <w:t>无味</w:t>
            </w:r>
            <w:r>
              <w:rPr>
                <w:rFonts w:hint="eastAsia"/>
                <w:color w:val="auto"/>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3446" w:type="dxa"/>
            <w:vAlign w:val="center"/>
          </w:tcPr>
          <w:p w14:paraId="2912F0B7">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4C28476B">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spacing w:val="-6"/>
                <w:lang w:val="en-US" w:eastAsia="zh-CN"/>
              </w:rPr>
              <w:t>Solubility</w:t>
            </w:r>
          </w:p>
        </w:tc>
        <w:tc>
          <w:tcPr>
            <w:tcW w:w="5898" w:type="dxa"/>
            <w:vAlign w:val="center"/>
          </w:tcPr>
          <w:p w14:paraId="76A5163D">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ascii="宋体" w:hAnsi="宋体" w:eastAsia="宋体" w:cs="宋体"/>
                <w:color w:val="auto"/>
                <w:sz w:val="24"/>
                <w:szCs w:val="24"/>
              </w:rPr>
            </w:pPr>
            <w:r>
              <w:rPr>
                <w:rFonts w:ascii="Helvetica" w:hAnsi="Helvetica" w:eastAsia="Helvetica" w:cs="Helvetica"/>
                <w:i w:val="0"/>
                <w:iCs w:val="0"/>
                <w:caps w:val="0"/>
                <w:color w:val="auto"/>
                <w:spacing w:val="0"/>
                <w:sz w:val="24"/>
                <w:szCs w:val="24"/>
                <w:shd w:val="clear" w:fill="FFFFFF"/>
              </w:rPr>
              <w:t>可溶于无机酸生成盐，不溶于水</w:t>
            </w:r>
          </w:p>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Soluble in inorganic acid to form salt, insoluble in water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color w:val="auto"/>
                <w:lang w:val="en-US" w:eastAsia="zh-CN"/>
              </w:rPr>
            </w:pPr>
            <w:r>
              <w:rPr>
                <w:rFonts w:hint="eastAsia"/>
                <w:b/>
                <w:bCs/>
                <w:color w:val="auto"/>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lang w:val="en-US" w:eastAsia="zh-CN"/>
              </w:rPr>
              <w:t>Relative density</w:t>
            </w:r>
          </w:p>
        </w:tc>
        <w:tc>
          <w:tcPr>
            <w:tcW w:w="5898" w:type="dxa"/>
            <w:vAlign w:val="center"/>
          </w:tcPr>
          <w:p w14:paraId="722F14DE">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eastAsia" w:ascii="宋体" w:hAnsi="宋体" w:eastAsia="宋体" w:cs="宋体"/>
                <w:color w:val="auto"/>
                <w:kern w:val="2"/>
                <w:sz w:val="12"/>
                <w:szCs w:val="12"/>
                <w:lang w:val="en-US" w:eastAsia="zh-CN" w:bidi="ar-SA"/>
              </w:rPr>
            </w:pPr>
            <w:r>
              <w:rPr>
                <w:rFonts w:hint="eastAsia" w:ascii="宋体" w:hAnsi="宋体" w:eastAsia="宋体" w:cs="宋体"/>
                <w:i w:val="0"/>
                <w:iCs w:val="0"/>
                <w:caps w:val="0"/>
                <w:color w:val="auto"/>
                <w:spacing w:val="0"/>
                <w:sz w:val="24"/>
                <w:szCs w:val="24"/>
                <w:shd w:val="clear" w:fill="FFFFFF"/>
              </w:rPr>
              <w:t>6.51</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color w:val="auto"/>
                <w:sz w:val="24"/>
                <w:szCs w:val="24"/>
                <w:vertAlign w:val="baseline"/>
                <w:lang w:val="en-US" w:eastAsia="zh-CN"/>
              </w:rPr>
            </w:pPr>
            <w:r>
              <w:rPr>
                <w:b/>
                <w:bCs/>
                <w:color w:val="auto"/>
                <w:spacing w:val="-6"/>
              </w:rPr>
              <w:t>熔点</w:t>
            </w:r>
            <w:r>
              <w:rPr>
                <w:rFonts w:hint="eastAsia"/>
                <w:b/>
                <w:bCs/>
                <w:color w:val="auto"/>
                <w:spacing w:val="-6"/>
              </w:rPr>
              <w:t>Melting point</w:t>
            </w:r>
          </w:p>
        </w:tc>
        <w:tc>
          <w:tcPr>
            <w:tcW w:w="5898"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6"/>
                <w:lang w:val="en-US" w:eastAsia="zh-CN"/>
              </w:rPr>
              <w:t>&gt;2000</w:t>
            </w:r>
            <w:r>
              <w:rPr>
                <w:color w:val="auto"/>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7F3F7D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sz w:val="24"/>
          <w:szCs w:val="24"/>
          <w:lang w:val="en-US" w:eastAsia="zh-CN"/>
        </w:rPr>
        <w:t>应避免的条件：</w:t>
      </w:r>
      <w:r>
        <w:rPr>
          <w:rFonts w:hint="eastAsia" w:ascii="宋体" w:hAnsi="宋体" w:eastAsia="宋体" w:cs="宋体"/>
          <w:b w:val="0"/>
          <w:bCs/>
          <w:sz w:val="24"/>
          <w:szCs w:val="24"/>
          <w:lang w:val="en-US" w:eastAsia="zh-CN"/>
        </w:rPr>
        <w:t>避免潮湿</w:t>
      </w:r>
    </w:p>
    <w:p w14:paraId="626D134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0" w:firstLineChars="1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Conditions to avoid: Avoid moisture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9" w:firstLineChars="100"/>
        <w:jc w:val="left"/>
        <w:textAlignment w:val="auto"/>
        <w:rPr>
          <w:rFonts w:hint="eastAsia" w:ascii="宋体" w:hAnsi="宋体" w:eastAsia="宋体" w:cs="宋体"/>
          <w:kern w:val="2"/>
          <w:sz w:val="24"/>
          <w:szCs w:val="24"/>
          <w:lang w:val="en-US" w:eastAsia="en-US" w:bidi="ar-SA"/>
        </w:rPr>
      </w:pPr>
      <w:r>
        <w:rPr>
          <w:rFonts w:hint="eastAsia" w:ascii="宋体" w:hAnsi="宋体" w:eastAsia="宋体" w:cs="宋体"/>
          <w:b/>
          <w:bCs/>
          <w:spacing w:val="-11"/>
          <w:kern w:val="2"/>
          <w:sz w:val="24"/>
          <w:szCs w:val="24"/>
          <w:lang w:val="en-US" w:eastAsia="zh-CN" w:bidi="ar-SA"/>
        </w:rPr>
        <w:t>禁配物:</w:t>
      </w:r>
      <w:r>
        <w:rPr>
          <w:rFonts w:hint="eastAsia" w:ascii="宋体" w:hAnsi="宋体" w:eastAsia="宋体" w:cs="宋体"/>
          <w:sz w:val="24"/>
          <w:szCs w:val="24"/>
        </w:rPr>
        <w:t>强酸, 强氧化剂, 二氧化碳 (CO2)</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kern w:val="2"/>
          <w:sz w:val="24"/>
          <w:szCs w:val="24"/>
          <w:lang w:val="en-US" w:eastAsia="en-US" w:bidi="ar-SA"/>
        </w:rPr>
      </w:pPr>
      <w:r>
        <w:rPr>
          <w:rFonts w:hint="eastAsia" w:ascii="宋体" w:hAnsi="宋体" w:eastAsia="宋体" w:cs="宋体"/>
          <w:b/>
          <w:bCs/>
          <w:kern w:val="2"/>
          <w:sz w:val="24"/>
          <w:szCs w:val="24"/>
          <w:lang w:val="en-US" w:eastAsia="en-US" w:bidi="ar-SA"/>
        </w:rPr>
        <w:t xml:space="preserve">Incompatible materials: </w:t>
      </w:r>
      <w:r>
        <w:rPr>
          <w:rFonts w:hint="eastAsia" w:ascii="宋体" w:hAnsi="宋体" w:eastAsia="宋体" w:cs="宋体"/>
          <w:b w:val="0"/>
          <w:bCs w:val="0"/>
          <w:kern w:val="2"/>
          <w:sz w:val="24"/>
          <w:szCs w:val="24"/>
          <w:lang w:val="en-US" w:eastAsia="en-US" w:bidi="ar-SA"/>
        </w:rPr>
        <w:t>Strong acids, Strong oxidants, Carbon dioxide (CO2)</w:t>
      </w:r>
    </w:p>
    <w:p w14:paraId="7DFDF52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eastAsia="zh-CN"/>
        </w:rPr>
      </w:pPr>
      <w:r>
        <w:rPr>
          <w:rFonts w:ascii="宋体" w:hAnsi="宋体" w:eastAsia="宋体" w:cs="宋体"/>
          <w:b/>
          <w:bCs/>
          <w:sz w:val="24"/>
          <w:szCs w:val="24"/>
        </w:rPr>
        <w:t xml:space="preserve">危险的分解产物: </w:t>
      </w:r>
      <w:r>
        <w:rPr>
          <w:rFonts w:ascii="宋体" w:hAnsi="宋体" w:eastAsia="宋体" w:cs="宋体"/>
          <w:sz w:val="24"/>
          <w:szCs w:val="24"/>
        </w:rPr>
        <w:t>在加热期间或失火的情况下,可能会形成有毒的气体</w:t>
      </w:r>
      <w:r>
        <w:rPr>
          <w:rFonts w:hint="eastAsia" w:ascii="宋体" w:hAnsi="宋体" w:eastAsia="宋体" w:cs="宋体"/>
          <w:sz w:val="24"/>
          <w:szCs w:val="24"/>
          <w:lang w:eastAsia="zh-CN"/>
        </w:rPr>
        <w:t>。</w:t>
      </w:r>
    </w:p>
    <w:p w14:paraId="292364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Hazardous Decomposition Products:</w:t>
      </w:r>
      <w:r>
        <w:rPr>
          <w:rFonts w:hint="eastAsia" w:ascii="宋体" w:hAnsi="宋体" w:eastAsia="宋体" w:cs="宋体"/>
          <w:sz w:val="24"/>
          <w:szCs w:val="24"/>
          <w:lang w:val="en-US" w:eastAsia="zh-CN"/>
        </w:rPr>
        <w:t xml:space="preserve"> During heating or in the event of fire, toxic gases may be formed.</w:t>
      </w:r>
    </w:p>
    <w:p w14:paraId="1ADDAB2A">
      <w:pPr>
        <w:numPr>
          <w:ilvl w:val="0"/>
          <w:numId w:val="0"/>
        </w:numPr>
        <w:ind w:leftChars="114"/>
        <w:jc w:val="left"/>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10"/>
        <w:spacing w:before="78" w:line="239" w:lineRule="auto"/>
        <w:ind w:left="463"/>
        <w:rPr>
          <w:rFonts w:hint="eastAsia"/>
          <w:spacing w:val="-26"/>
          <w:w w:val="97"/>
          <w:lang w:val="en-US" w:eastAsia="zh-CN"/>
        </w:rPr>
      </w:pPr>
    </w:p>
    <w:p w14:paraId="0BF2A816">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sz w:val="24"/>
          <w:szCs w:val="24"/>
        </w:rPr>
      </w:pPr>
      <w:r>
        <w:rPr>
          <w:rFonts w:hint="eastAsia" w:ascii="宋体" w:hAnsi="宋体" w:eastAsia="宋体" w:cs="宋体"/>
          <w:b/>
          <w:bCs/>
          <w:i w:val="0"/>
          <w:iCs w:val="0"/>
          <w:caps w:val="0"/>
          <w:color w:val="333333"/>
          <w:spacing w:val="0"/>
          <w:sz w:val="24"/>
          <w:szCs w:val="24"/>
          <w:shd w:val="clear" w:fill="FFFFFF"/>
        </w:rPr>
        <w:t>急性毒性：</w:t>
      </w:r>
      <w:r>
        <w:rPr>
          <w:rFonts w:ascii="宋体" w:hAnsi="宋体" w:eastAsia="宋体" w:cs="宋体"/>
          <w:sz w:val="24"/>
          <w:szCs w:val="24"/>
        </w:rPr>
        <w:t xml:space="preserve">经口: LD50 - rat (male/female) - &gt; 10 000 mg/kg bw </w:t>
      </w:r>
    </w:p>
    <w:p w14:paraId="32686E9F">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 xml:space="preserve">吸入: LC0 - rat (male/female) - &gt;= 5.3 mg/L air (analytical) </w:t>
      </w:r>
    </w:p>
    <w:p w14:paraId="4F783659">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default"/>
          <w:b w:val="0"/>
          <w:bCs w:val="0"/>
          <w:spacing w:val="-11"/>
          <w:lang w:val="en-US" w:eastAsia="zh-CN"/>
        </w:rPr>
      </w:pPr>
      <w:r>
        <w:rPr>
          <w:rFonts w:ascii="宋体" w:hAnsi="宋体" w:eastAsia="宋体" w:cs="宋体"/>
          <w:sz w:val="24"/>
          <w:szCs w:val="24"/>
        </w:rPr>
        <w:t>经皮: LD50 - rabbit - &gt; 2 000 mg/kg bw</w:t>
      </w:r>
    </w:p>
    <w:p w14:paraId="5275D16B">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b w:val="0"/>
          <w:bCs w:val="0"/>
          <w:spacing w:val="-11"/>
          <w:lang w:val="en-US" w:eastAsia="zh-CN"/>
        </w:rPr>
      </w:pPr>
      <w:r>
        <w:rPr>
          <w:rFonts w:hint="eastAsia"/>
          <w:b/>
          <w:bCs/>
          <w:spacing w:val="-11"/>
          <w:lang w:val="en-US" w:eastAsia="zh-CN"/>
        </w:rPr>
        <w:t>潜在影响</w:t>
      </w:r>
      <w:r>
        <w:rPr>
          <w:b/>
          <w:bCs/>
          <w:spacing w:val="-11"/>
        </w:rPr>
        <w:t>：</w:t>
      </w:r>
      <w:r>
        <w:rPr>
          <w:rFonts w:hint="eastAsia"/>
          <w:b w:val="0"/>
          <w:bCs w:val="0"/>
          <w:spacing w:val="-11"/>
          <w:lang w:val="en-US" w:eastAsia="zh-CN"/>
        </w:rPr>
        <w:t>吸入摄入会引起呼吸道刺激。</w:t>
      </w:r>
    </w:p>
    <w:p w14:paraId="3A96B5A3">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default"/>
          <w:b w:val="0"/>
          <w:bCs w:val="0"/>
          <w:spacing w:val="-11"/>
          <w:lang w:val="en-US" w:eastAsia="zh-CN"/>
        </w:rPr>
      </w:pPr>
      <w:r>
        <w:rPr>
          <w:rFonts w:hint="default"/>
          <w:b/>
          <w:bCs/>
          <w:spacing w:val="-11"/>
          <w:lang w:val="en-US" w:eastAsia="zh-CN"/>
        </w:rPr>
        <w:t>Potential Effects:</w:t>
      </w:r>
      <w:r>
        <w:rPr>
          <w:rFonts w:hint="default"/>
          <w:b w:val="0"/>
          <w:bCs w:val="0"/>
          <w:spacing w:val="-11"/>
          <w:lang w:val="en-US" w:eastAsia="zh-CN"/>
        </w:rPr>
        <w:t xml:space="preserve"> Inhalation may cause respiratory irritation.</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10"/>
        <w:spacing w:before="78" w:line="239" w:lineRule="auto"/>
        <w:ind w:left="463"/>
        <w:rPr>
          <w:spacing w:val="-11"/>
        </w:rPr>
      </w:pPr>
    </w:p>
    <w:p w14:paraId="7BAD3E29">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spacing w:val="-10"/>
          <w:sz w:val="24"/>
          <w:szCs w:val="24"/>
        </w:rPr>
        <w:t>生态</w:t>
      </w:r>
      <w:r>
        <w:rPr>
          <w:rFonts w:hint="eastAsia" w:ascii="宋体" w:hAnsi="宋体" w:eastAsia="宋体" w:cs="宋体"/>
          <w:b/>
          <w:bCs/>
          <w:spacing w:val="-10"/>
          <w:sz w:val="24"/>
          <w:szCs w:val="24"/>
          <w:lang w:val="en-US" w:eastAsia="zh-CN"/>
        </w:rPr>
        <w:t>毒性</w:t>
      </w:r>
      <w:r>
        <w:rPr>
          <w:rFonts w:hint="eastAsia" w:ascii="宋体" w:hAnsi="宋体" w:eastAsia="宋体" w:cs="宋体"/>
          <w:b/>
          <w:bCs/>
          <w:spacing w:val="-11"/>
          <w:sz w:val="24"/>
          <w:szCs w:val="24"/>
        </w:rPr>
        <w:t>：</w:t>
      </w:r>
      <w:r>
        <w:rPr>
          <w:rFonts w:hint="eastAsia" w:ascii="宋体" w:hAnsi="宋体" w:eastAsia="宋体" w:cs="宋体"/>
          <w:i w:val="0"/>
          <w:iCs w:val="0"/>
          <w:caps w:val="0"/>
          <w:color w:val="auto"/>
          <w:spacing w:val="0"/>
          <w:sz w:val="24"/>
          <w:szCs w:val="24"/>
          <w:shd w:val="clear" w:fill="FFFFFF"/>
        </w:rPr>
        <w:t>对水蚤和其他水生无脊固定 无可观察效应浓度 - 大型蚤 (水蚤) - &gt;= 100 mg/l - 48 h</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椎动物的毒性方法: 经济合作和发展组织的试验指导书202</w:t>
      </w:r>
    </w:p>
    <w:p w14:paraId="51CFAAC4">
      <w:pPr>
        <w:pStyle w:val="10"/>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ascii="宋体" w:hAnsi="宋体" w:eastAsia="宋体" w:cs="宋体"/>
          <w:color w:val="auto"/>
          <w:spacing w:val="-11"/>
          <w:sz w:val="24"/>
          <w:szCs w:val="24"/>
          <w:lang w:val="en-US" w:eastAsia="zh-CN"/>
        </w:rPr>
      </w:pPr>
      <w:r>
        <w:rPr>
          <w:rFonts w:hint="eastAsia" w:ascii="宋体" w:hAnsi="宋体" w:eastAsia="宋体" w:cs="宋体"/>
          <w:b/>
          <w:bCs/>
          <w:color w:val="auto"/>
          <w:spacing w:val="-11"/>
          <w:sz w:val="24"/>
          <w:szCs w:val="24"/>
          <w:lang w:val="en-US" w:eastAsia="zh-CN"/>
        </w:rPr>
        <w:t xml:space="preserve">Ecotoxicity: </w:t>
      </w:r>
      <w:r>
        <w:rPr>
          <w:rFonts w:hint="eastAsia" w:ascii="宋体" w:hAnsi="宋体" w:eastAsia="宋体" w:cs="宋体"/>
          <w:color w:val="auto"/>
          <w:spacing w:val="-11"/>
          <w:sz w:val="24"/>
          <w:szCs w:val="24"/>
          <w:lang w:val="en-US" w:eastAsia="zh-CN"/>
        </w:rPr>
        <w:t>Toxicity to daphnia and other aquatic invertebrates No observable effect concentration - Daphnia magna (Water flea) - &gt;= 100 mg/l - 48 h</w:t>
      </w:r>
    </w:p>
    <w:p w14:paraId="1BF10C2A">
      <w:pPr>
        <w:pStyle w:val="10"/>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ascii="宋体" w:hAnsi="宋体" w:eastAsia="宋体" w:cs="宋体"/>
          <w:color w:val="auto"/>
          <w:spacing w:val="-11"/>
          <w:sz w:val="24"/>
          <w:szCs w:val="24"/>
          <w:lang w:val="en-US" w:eastAsia="zh-CN"/>
        </w:rPr>
      </w:pPr>
      <w:r>
        <w:rPr>
          <w:rFonts w:hint="eastAsia" w:ascii="宋体" w:hAnsi="宋体" w:eastAsia="宋体" w:cs="宋体"/>
          <w:color w:val="auto"/>
          <w:spacing w:val="-11"/>
          <w:sz w:val="24"/>
          <w:szCs w:val="24"/>
          <w:lang w:val="en-US" w:eastAsia="zh-CN"/>
        </w:rPr>
        <w:t>Toxicity to vertebrates Method: OECD Test Guideline 202</w:t>
      </w:r>
    </w:p>
    <w:p w14:paraId="552F960D">
      <w:pPr>
        <w:numPr>
          <w:ilvl w:val="0"/>
          <w:numId w:val="0"/>
        </w:numPr>
        <w:ind w:leftChars="114"/>
        <w:jc w:val="left"/>
        <w:rPr>
          <w:rFonts w:hint="default" w:ascii="宋体" w:hAnsi="宋体" w:eastAsia="宋体" w:cs="宋体"/>
          <w:color w:val="auto"/>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Calibri"/>
          <w:b/>
          <w:color w:val="auto"/>
          <w:sz w:val="30"/>
          <w:szCs w:val="30"/>
        </w:rPr>
        <w:t>Waste disposal</w:t>
      </w:r>
    </w:p>
    <w:p w14:paraId="6F18CD07">
      <w:pPr>
        <w:pStyle w:val="10"/>
        <w:spacing w:before="79" w:line="239" w:lineRule="auto"/>
        <w:ind w:left="463"/>
        <w:rPr>
          <w:color w:val="auto"/>
          <w:spacing w:val="-10"/>
        </w:rPr>
      </w:pPr>
    </w:p>
    <w:p w14:paraId="44AFBDDE">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b/>
          <w:bCs/>
          <w:color w:val="auto"/>
          <w:spacing w:val="-10"/>
        </w:rPr>
        <w:t>废弃处置方法：</w:t>
      </w:r>
      <w:r>
        <w:rPr>
          <w:rFonts w:ascii="宋体" w:hAnsi="宋体" w:eastAsia="宋体" w:cs="宋体"/>
          <w:color w:val="auto"/>
          <w:sz w:val="24"/>
          <w:szCs w:val="24"/>
        </w:rPr>
        <w:t>尽可能回收利用。如果不能回收利用，采用焚烧方法进行处置。不得采用排放到下水道的方式废弃处置本品。</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Recycle as much as possible. If recycling is not possible, dispose of it by incineration. Do not dispose of this product by discharge into the sewer.</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03EE8C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eastAsia="zh-CN"/>
        </w:rPr>
      </w:pPr>
      <w:r>
        <w:rPr>
          <w:rFonts w:ascii="宋体" w:hAnsi="宋体" w:eastAsia="宋体" w:cs="宋体"/>
          <w:b/>
          <w:bCs/>
          <w:color w:val="auto"/>
          <w:sz w:val="24"/>
          <w:szCs w:val="24"/>
        </w:rPr>
        <w:t>运输品名：</w:t>
      </w:r>
      <w:r>
        <w:rPr>
          <w:rFonts w:hint="eastAsia" w:ascii="宋体" w:hAnsi="宋体" w:eastAsia="宋体" w:cs="宋体"/>
          <w:b w:val="0"/>
          <w:bCs/>
          <w:color w:val="auto"/>
          <w:sz w:val="24"/>
          <w:szCs w:val="24"/>
          <w:lang w:val="en-US" w:eastAsia="zh-CN"/>
        </w:rPr>
        <w:t>氧化镧</w:t>
      </w:r>
    </w:p>
    <w:p w14:paraId="551B5130">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ascii="宋体" w:hAnsi="宋体" w:eastAsia="宋体" w:cs="宋体"/>
          <w:color w:val="auto"/>
          <w:sz w:val="24"/>
          <w:szCs w:val="24"/>
        </w:rPr>
        <w:t xml:space="preserve">Lanthanum </w:t>
      </w:r>
      <w:r>
        <w:rPr>
          <w:rFonts w:hint="eastAsia" w:ascii="宋体" w:hAnsi="宋体" w:eastAsia="宋体" w:cs="宋体"/>
          <w:color w:val="auto"/>
          <w:sz w:val="24"/>
          <w:szCs w:val="24"/>
          <w:lang w:val="en-US" w:eastAsia="zh-CN"/>
        </w:rPr>
        <w:t>O</w:t>
      </w:r>
      <w:r>
        <w:rPr>
          <w:rFonts w:ascii="宋体" w:hAnsi="宋体" w:eastAsia="宋体" w:cs="宋体"/>
          <w:color w:val="auto"/>
          <w:sz w:val="24"/>
          <w:szCs w:val="24"/>
        </w:rPr>
        <w:t>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bCs/>
          <w:color w:val="auto"/>
          <w:sz w:val="24"/>
          <w:szCs w:val="24"/>
          <w:lang w:val="en-US" w:eastAsia="zh-CN"/>
        </w:rPr>
        <w:t>普货</w:t>
      </w:r>
      <w:r>
        <w:rPr>
          <w:rFonts w:ascii="宋体" w:hAnsi="宋体" w:eastAsia="宋体" w:cs="宋体"/>
          <w:color w:val="auto"/>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储存于阴凉、通风仓间内。远离火种、热源。保持容器密封，应与氧化剂、食用化工原料分开存放。搬运时要轻装轻卸，防止包装及容器损坏。分装和搬运作业要注意个人防护</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color w:val="auto"/>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0"/>
        <w:spacing w:before="79" w:line="239" w:lineRule="auto"/>
        <w:ind w:left="463"/>
        <w:rPr>
          <w:rFonts w:ascii="宋体" w:hAnsi="宋体" w:eastAsia="宋体" w:cs="宋体"/>
          <w:sz w:val="24"/>
          <w:szCs w:val="24"/>
        </w:rPr>
      </w:pPr>
    </w:p>
    <w:p w14:paraId="285B5BC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中华人民共和国安全生产法</w:t>
      </w:r>
      <w:r>
        <w:rPr>
          <w:rFonts w:hint="eastAsia" w:cs="宋体"/>
          <w:sz w:val="24"/>
          <w:szCs w:val="24"/>
          <w:lang w:val="en-US" w:eastAsia="zh-CN"/>
        </w:rPr>
        <w:t>;</w:t>
      </w:r>
    </w:p>
    <w:p w14:paraId="616F91B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中华人民共和国职业病防治法</w:t>
      </w:r>
      <w:r>
        <w:rPr>
          <w:rFonts w:hint="eastAsia" w:cs="宋体"/>
          <w:sz w:val="24"/>
          <w:szCs w:val="24"/>
          <w:lang w:val="en-US" w:eastAsia="zh-CN"/>
        </w:rPr>
        <w:t>;</w:t>
      </w:r>
    </w:p>
    <w:p w14:paraId="4DDDE84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中华人民共和国环境保护法</w:t>
      </w:r>
      <w:r>
        <w:rPr>
          <w:rFonts w:hint="eastAsia" w:cs="宋体"/>
          <w:sz w:val="24"/>
          <w:szCs w:val="24"/>
          <w:lang w:val="en-US" w:eastAsia="zh-CN"/>
        </w:rPr>
        <w:t>;</w:t>
      </w:r>
    </w:p>
    <w:p w14:paraId="4943B63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危险化学品安全管理条例</w:t>
      </w:r>
      <w:r>
        <w:rPr>
          <w:rFonts w:hint="eastAsia" w:cs="宋体"/>
          <w:sz w:val="24"/>
          <w:szCs w:val="24"/>
          <w:lang w:val="en-US" w:eastAsia="zh-CN"/>
        </w:rPr>
        <w:t>;</w:t>
      </w:r>
    </w:p>
    <w:p w14:paraId="6346C1D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安全生产许可证条例</w:t>
      </w:r>
      <w:r>
        <w:rPr>
          <w:rFonts w:hint="eastAsia" w:cs="宋体"/>
          <w:sz w:val="24"/>
          <w:szCs w:val="24"/>
          <w:lang w:eastAsia="zh-CN"/>
        </w:rPr>
        <w:t>。</w:t>
      </w:r>
    </w:p>
    <w:p w14:paraId="4BA34663">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Production Safety Law of the People's Republic of China;</w:t>
      </w:r>
    </w:p>
    <w:p w14:paraId="087CB50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Occupational Disease Prevention and Control Law of the People's Republic of China;</w:t>
      </w:r>
    </w:p>
    <w:p w14:paraId="4D5EBA2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Environmental Protection Law of the People's Republic of China;</w:t>
      </w:r>
    </w:p>
    <w:p w14:paraId="1DC2B1B4">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74F14FA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3FF2F6F1">
      <w:pPr>
        <w:pStyle w:val="10"/>
        <w:spacing w:before="79" w:line="239" w:lineRule="auto"/>
        <w:rPr>
          <w:rFonts w:hint="eastAsia" w:ascii="宋体" w:hAnsi="宋体" w:eastAsia="宋体" w:cs="宋体"/>
          <w:b w:val="0"/>
          <w:bCs w:val="0"/>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598F3DC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68F4B97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华文隶书">
    <w:panose1 w:val="02010800040101010101"/>
    <w:charset w:val="86"/>
    <w:family w:val="auto"/>
    <w:pitch w:val="default"/>
    <w:sig w:usb0="00000001" w:usb1="080F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5453FE3"/>
    <w:rsid w:val="0547212C"/>
    <w:rsid w:val="08AA23AF"/>
    <w:rsid w:val="0902043D"/>
    <w:rsid w:val="0B7C44D7"/>
    <w:rsid w:val="0BD95485"/>
    <w:rsid w:val="0E8C2C83"/>
    <w:rsid w:val="13225964"/>
    <w:rsid w:val="13E946D3"/>
    <w:rsid w:val="1562473D"/>
    <w:rsid w:val="16414353"/>
    <w:rsid w:val="16557DFE"/>
    <w:rsid w:val="17EE050A"/>
    <w:rsid w:val="18910E95"/>
    <w:rsid w:val="18A13E9F"/>
    <w:rsid w:val="1AA72BF2"/>
    <w:rsid w:val="1DA15A9D"/>
    <w:rsid w:val="1DA67266"/>
    <w:rsid w:val="1F240CB5"/>
    <w:rsid w:val="20104D96"/>
    <w:rsid w:val="20A025BE"/>
    <w:rsid w:val="20A53008"/>
    <w:rsid w:val="20DB76DB"/>
    <w:rsid w:val="22FF6C13"/>
    <w:rsid w:val="285E2CF4"/>
    <w:rsid w:val="28CD3965"/>
    <w:rsid w:val="2953641F"/>
    <w:rsid w:val="299F1664"/>
    <w:rsid w:val="29CB58F0"/>
    <w:rsid w:val="30D53BBD"/>
    <w:rsid w:val="345F5C86"/>
    <w:rsid w:val="35847960"/>
    <w:rsid w:val="37E62B54"/>
    <w:rsid w:val="39C66799"/>
    <w:rsid w:val="3BAC19BF"/>
    <w:rsid w:val="3E8A248B"/>
    <w:rsid w:val="3EAF1EF2"/>
    <w:rsid w:val="3F23643C"/>
    <w:rsid w:val="3FA64F02"/>
    <w:rsid w:val="40EB51F7"/>
    <w:rsid w:val="42191627"/>
    <w:rsid w:val="437D25BE"/>
    <w:rsid w:val="43F9776B"/>
    <w:rsid w:val="44024872"/>
    <w:rsid w:val="44931E77"/>
    <w:rsid w:val="466130BB"/>
    <w:rsid w:val="467B1EBE"/>
    <w:rsid w:val="46BC1F75"/>
    <w:rsid w:val="49DA36EF"/>
    <w:rsid w:val="4F7D3946"/>
    <w:rsid w:val="4FCD40E3"/>
    <w:rsid w:val="52642B9B"/>
    <w:rsid w:val="526E7576"/>
    <w:rsid w:val="52E53CDC"/>
    <w:rsid w:val="53446C55"/>
    <w:rsid w:val="53A61294"/>
    <w:rsid w:val="54BA3737"/>
    <w:rsid w:val="55C05B3D"/>
    <w:rsid w:val="57BE4AFC"/>
    <w:rsid w:val="59747B68"/>
    <w:rsid w:val="5BF572B0"/>
    <w:rsid w:val="5D355860"/>
    <w:rsid w:val="5DB02381"/>
    <w:rsid w:val="60B77FFC"/>
    <w:rsid w:val="61D37ED8"/>
    <w:rsid w:val="63E33011"/>
    <w:rsid w:val="6A964830"/>
    <w:rsid w:val="6EF235B1"/>
    <w:rsid w:val="6F0155FA"/>
    <w:rsid w:val="70AB3A18"/>
    <w:rsid w:val="70BB2831"/>
    <w:rsid w:val="716B0C86"/>
    <w:rsid w:val="71CF504D"/>
    <w:rsid w:val="77D601B0"/>
    <w:rsid w:val="787943FB"/>
    <w:rsid w:val="79155A72"/>
    <w:rsid w:val="797B6EE2"/>
    <w:rsid w:val="79CA5398"/>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2070</Words>
  <Characters>5959</Characters>
  <Lines>0</Lines>
  <Paragraphs>0</Paragraphs>
  <TotalTime>8</TotalTime>
  <ScaleCrop>false</ScaleCrop>
  <LinksUpToDate>false</LinksUpToDate>
  <CharactersWithSpaces>11451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2024-09-09T08:35:20Z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3E7AB2F0EA144B35B83CCB665E87D200_13</vt:lpwstr>
  </property>
</Properties>
</file>